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Clinical Imaging Engine — Demo Guide</w:t>
      </w:r>
    </w:p>
    <w:p>
      <w:r>
        <w:rPr>
          <w:b/>
        </w:rPr>
        <w:t xml:space="preserve">Author: </w:t>
      </w:r>
      <w:r>
        <w:t>Adam Jones</w:t>
      </w:r>
    </w:p>
    <w:p>
      <w:r>
        <w:rPr>
          <w:b/>
        </w:rPr>
        <w:t xml:space="preserve">Date: </w:t>
      </w:r>
      <w:r>
        <w:t>April 2026</w:t>
      </w:r>
    </w:p>
    <w:p>
      <w:r>
        <w:rPr>
          <w:b/>
        </w:rPr>
        <w:t xml:space="preserve">Version: </w:t>
      </w:r>
      <w:r>
        <w:t>2.0.0</w:t>
      </w:r>
    </w:p>
    <w:p>
      <w:r>
        <w:rPr>
          <w:b/>
        </w:rPr>
        <w:t xml:space="preserve">License: </w:t>
      </w:r>
      <w:r>
        <w:t>Apache 2.0</w:t>
      </w:r>
    </w:p>
    <w:p>
      <w:r>
        <w:t>Engine 4 of the HCLS AI Factory — Precision Medicine Platform.</w:t>
      </w:r>
    </w:p>
    <w:p>
      <w:r>
        <w:t>https://github.com/ajones1923/hcls-ai-factory</w:t>
      </w:r>
    </w:p>
    <w:p>
      <w:r>
        <w:t>____________________________________________________________</w:t>
      </w:r>
    </w:p>
    <w:p>
      <w:pPr>
        <w:pStyle w:val="Heading2"/>
      </w:pPr>
      <w:r>
        <w:t>Overview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474"/>
        <w:gridCol w:w="4474"/>
      </w:tblGrid>
      <w:tr>
        <w:tc>
          <w:tcPr>
            <w:tcW w:type="dxa" w:w="4474"/>
          </w:tcPr>
          <w:p>
            <w:r/>
            <w:r>
              <w:rPr>
                <w:b/>
                <w:sz w:val="20"/>
              </w:rPr>
              <w:t>Detail</w:t>
            </w:r>
          </w:p>
        </w:tc>
        <w:tc>
          <w:tcPr>
            <w:tcW w:type="dxa" w:w="4474"/>
          </w:tcPr>
          <w:p>
            <w:r/>
            <w:r>
              <w:rPr>
                <w:b/>
                <w:sz w:val="20"/>
              </w:rPr>
              <w:t>Value</w:t>
            </w:r>
          </w:p>
        </w:tc>
      </w:tr>
      <w:tr>
        <w:tc>
          <w:tcPr>
            <w:tcW w:type="dxa" w:w="4474"/>
          </w:tcPr>
          <w:p>
            <w:r>
              <w:rPr>
                <w:sz w:val="20"/>
              </w:rPr>
              <w:t>Title</w:t>
            </w:r>
          </w:p>
        </w:tc>
        <w:tc>
          <w:tcPr>
            <w:tcW w:type="dxa" w:w="4474"/>
          </w:tcPr>
          <w:p>
            <w:r>
              <w:rPr>
                <w:sz w:val="20"/>
              </w:rPr>
              <w:t>Engine 4: The Clinical Imaging Engine</w:t>
            </w:r>
          </w:p>
        </w:tc>
      </w:tr>
      <w:tr>
        <w:tc>
          <w:tcPr>
            <w:tcW w:type="dxa" w:w="4474"/>
          </w:tcPr>
          <w:p>
            <w:r>
              <w:rPr>
                <w:sz w:val="20"/>
              </w:rPr>
              <w:t>Duration</w:t>
            </w:r>
          </w:p>
        </w:tc>
        <w:tc>
          <w:tcPr>
            <w:tcW w:type="dxa" w:w="4474"/>
          </w:tcPr>
          <w:p>
            <w:r>
              <w:rPr>
                <w:sz w:val="20"/>
              </w:rPr>
              <w:t>20-22 minutes</w:t>
            </w:r>
          </w:p>
        </w:tc>
      </w:tr>
      <w:tr>
        <w:tc>
          <w:tcPr>
            <w:tcW w:type="dxa" w:w="4474"/>
          </w:tcPr>
          <w:p>
            <w:r>
              <w:rPr>
                <w:sz w:val="20"/>
              </w:rPr>
              <w:t>Platform</w:t>
            </w:r>
          </w:p>
        </w:tc>
        <w:tc>
          <w:tcPr>
            <w:tcW w:type="dxa" w:w="4474"/>
          </w:tcPr>
          <w:p>
            <w:r>
              <w:rPr>
                <w:sz w:val="20"/>
              </w:rPr>
              <w:t>React Portal at http://&lt;DGX_SPARK_IP&gt;:8550</w:t>
            </w:r>
          </w:p>
        </w:tc>
      </w:tr>
      <w:tr>
        <w:tc>
          <w:tcPr>
            <w:tcW w:type="dxa" w:w="4474"/>
          </w:tcPr>
          <w:p>
            <w:r>
              <w:rPr>
                <w:sz w:val="20"/>
              </w:rPr>
              <w:t>Backend</w:t>
            </w:r>
          </w:p>
        </w:tc>
        <w:tc>
          <w:tcPr>
            <w:tcW w:type="dxa" w:w="4474"/>
          </w:tcPr>
          <w:p>
            <w:r>
              <w:rPr>
                <w:sz w:val="20"/>
              </w:rPr>
              <w:t>FastAPI (8524), Milvus (19530), Ollama LLM (11434)</w:t>
            </w:r>
          </w:p>
        </w:tc>
      </w:tr>
      <w:tr>
        <w:tc>
          <w:tcPr>
            <w:tcW w:type="dxa" w:w="4474"/>
          </w:tcPr>
          <w:p>
            <w:r>
              <w:rPr>
                <w:sz w:val="20"/>
              </w:rPr>
              <w:t>Story</w:t>
            </w:r>
          </w:p>
        </w:tc>
        <w:tc>
          <w:tcPr>
            <w:tcW w:type="dxa" w:w="4474"/>
          </w:tcPr>
          <w:p>
            <w:r>
              <w:rPr>
                <w:sz w:val="20"/>
              </w:rPr>
              <w:t>What one $4,699 box can do for a community hospital</w:t>
            </w:r>
          </w:p>
        </w:tc>
      </w:tr>
    </w:tbl>
    <w:p/>
    <w:p>
      <w:r>
        <w:t>The patient: Maria Santos, 58-year-old woman in rural New Mexico. 20-pack-year smoking history. Annual lung cancer screening CT. The only AI infrastructure is a single NVIDIA DGX Spark ($4,699).</w:t>
      </w:r>
    </w:p>
    <w:p>
      <w:r>
        <w:t>____________________________________________________________</w:t>
      </w:r>
    </w:p>
    <w:p>
      <w:pPr>
        <w:pStyle w:val="Heading2"/>
      </w:pPr>
      <w:r>
        <w:t>Act 1: "The Dashboard" (2 min)</w:t>
      </w:r>
    </w:p>
    <w:p>
      <w:r>
        <w:rPr>
          <w:b/>
          <w:color w:val="117733"/>
        </w:rPr>
        <w:t xml:space="preserve">ACTION: </w:t>
      </w:r>
      <w:r>
        <w:t>Open http://&lt;IP&gt;:8550</w:t>
      </w:r>
    </w:p>
    <w:p>
      <w:r>
        <w:rPr>
          <w:b/>
          <w:color w:val="005599"/>
        </w:rPr>
        <w:t xml:space="preserve">VISUAL: </w:t>
      </w:r>
      <w:r>
        <w:t>Hero banner with ENGINE 4 badge. Stats: 38,028 vectors, 13 collections, 9 workflows, 4 NIMs. Engine architecture with Engine 4 glowing green.</w:t>
      </w:r>
    </w:p>
    <w:p>
      <w:pPr>
        <w:ind w:left="576"/>
      </w:pPr>
      <w:r>
        <w:rPr>
          <w:i/>
          <w:color w:val="335533"/>
        </w:rPr>
        <w:t>"This is the Clinical Imaging Engine — Engine 4 of the HCLS AI Factory. Everything you see is running on one device. An NVIDIA DGX Spark. $4,699. The size of a Mac Studio."</w:t>
      </w:r>
    </w:p>
    <w:p>
      <w:pPr>
        <w:pStyle w:val="Heading2"/>
      </w:pPr>
      <w:r>
        <w:t>Act 2: "Nine Workflows" (2 min)</w:t>
      </w:r>
    </w:p>
    <w:p>
      <w:r>
        <w:rPr>
          <w:b/>
          <w:color w:val="117733"/>
        </w:rPr>
        <w:t xml:space="preserve">ACTION: </w:t>
      </w:r>
      <w:r>
        <w:t>Click Workflows in sidebar</w:t>
      </w:r>
    </w:p>
    <w:p>
      <w:r>
        <w:rPr>
          <w:b/>
          <w:color w:val="005599"/>
        </w:rPr>
        <w:t xml:space="preserve">VISUAL: </w:t>
      </w:r>
      <w:r>
        <w:t>3x3 workflow cards with modality-colored icons. 9 demo cases with severity badges.</w:t>
      </w:r>
    </w:p>
    <w:p>
      <w:pPr>
        <w:ind w:left="576"/>
      </w:pPr>
      <w:r>
        <w:rPr>
          <w:i/>
          <w:color w:val="335533"/>
        </w:rPr>
        <w:t>"Nine clinical workflows. Seven standardized scoring systems — Lung-RADS, BI-RADS, TI-RADS, LI-RADS, CAD-RADS, PI-RADS, and ASPECTS. The AI speaks the radiologist's language."</w:t>
      </w:r>
    </w:p>
    <w:p>
      <w:pPr>
        <w:pStyle w:val="Heading2"/>
      </w:pPr>
      <w:r>
        <w:t>Act 3: "Maria Santos" (4 min) — THE KEY MOMENT</w:t>
      </w:r>
    </w:p>
    <w:p>
      <w:r>
        <w:rPr>
          <w:b/>
          <w:color w:val="117733"/>
        </w:rPr>
        <w:t xml:space="preserve">ACTION: </w:t>
      </w:r>
      <w:r>
        <w:t>Click Run Case on DEMO-002</w:t>
      </w:r>
    </w:p>
    <w:p>
      <w:r>
        <w:rPr>
          <w:b/>
          <w:color w:val="005599"/>
        </w:rPr>
        <w:t xml:space="preserve">VISUAL: </w:t>
      </w:r>
      <w:r>
        <w:t>Pipeline animation (6 stages). Three-panel display: AI segmentation (1024x1024) with before/after toggle, animated CT scroll (50 frames), 3D rotating point cloud. Critical alert pulse. Patient timeline. Cross-modal bridge animation. Gene pills: EGFR, ALK, ROS1, KRAS, BRAF, MET. Lung-RADS 4B in red.</w:t>
      </w:r>
    </w:p>
    <w:p>
      <w:pPr>
        <w:ind w:left="576"/>
      </w:pPr>
      <w:r>
        <w:rPr>
          <w:i/>
          <w:color w:val="335533"/>
        </w:rPr>
        <w:t>"Lung-RADS 4B. The ACR's classification for a highly suspicious nodule. And watch — the engine automatically triggered a cross-modal query, searching 35,000 variant vectors for driver mutations. EGFR, ALK, ROS1, KRAS. The architecture did it."</w:t>
      </w:r>
    </w:p>
    <w:p>
      <w:pPr>
        <w:pStyle w:val="Heading2"/>
      </w:pPr>
      <w:r>
        <w:t>Act 4: "Emergency Stroke" (2 min)</w:t>
      </w:r>
    </w:p>
    <w:p>
      <w:r>
        <w:rPr>
          <w:b/>
          <w:color w:val="117733"/>
        </w:rPr>
        <w:t xml:space="preserve">ACTION: </w:t>
      </w:r>
      <w:r>
        <w:t>Click Run Case on DEMO-001</w:t>
      </w:r>
    </w:p>
    <w:p>
      <w:r>
        <w:rPr>
          <w:b/>
          <w:color w:val="005599"/>
        </w:rPr>
        <w:t xml:space="preserve">VISUAL: </w:t>
      </w:r>
      <w:r>
        <w:t>Critical alert pulse. 3-panel: AI segmentation with hemorrhage in red, animated brain scroll, 3D brain with red cluster. 28.5 mL, 4.8mm shift. APOE, COL3A1, ACE.</w:t>
      </w:r>
    </w:p>
    <w:p>
      <w:pPr>
        <w:ind w:left="576"/>
      </w:pPr>
      <w:r>
        <w:rPr>
          <w:i/>
          <w:color w:val="335533"/>
        </w:rPr>
        <w:t>"28.5 milliliters in the right basal ganglia. Midline shift 4.8 millimeters. The system checked the genome for hemorrhage risk factors — APOE e4, COL3A1."</w:t>
      </w:r>
    </w:p>
    <w:p>
      <w:pPr>
        <w:pStyle w:val="Heading2"/>
      </w:pPr>
      <w:r>
        <w:t>Act 5: "Quick Fire" (2 min)</w:t>
      </w:r>
    </w:p>
    <w:p>
      <w:r>
        <w:rPr>
          <w:b/>
          <w:color w:val="117733"/>
        </w:rPr>
        <w:t xml:space="preserve">ACTION: </w:t>
      </w:r>
      <w:r>
        <w:t>Run DEMO-006, 007, 005, 003</w:t>
      </w:r>
    </w:p>
    <w:p>
      <w:r>
        <w:rPr>
          <w:b/>
          <w:color w:val="005599"/>
        </w:rPr>
        <w:t xml:space="preserve">VISUAL: </w:t>
      </w:r>
      <w:r>
        <w:t>TI-RADS TR5 + BRAF. LI-RADS LR-5 + TP53. BI-RADS 4C + BRCA1/BRCA2. CAD-RADS 4A + LDLR/PCSK9.</w:t>
      </w:r>
    </w:p>
    <w:p>
      <w:pPr>
        <w:ind w:left="576"/>
      </w:pPr>
      <w:r>
        <w:rPr>
          <w:i/>
          <w:color w:val="335533"/>
        </w:rPr>
        <w:t>"Nine workflows. Seven scoring systems. Eight cross-modal genomic triggers. All on one device."</w:t>
      </w:r>
    </w:p>
    <w:p>
      <w:pPr>
        <w:pStyle w:val="Heading2"/>
      </w:pPr>
      <w:r>
        <w:t>Act 6: "The Evidence" (2 min)</w:t>
      </w:r>
    </w:p>
    <w:p>
      <w:r>
        <w:rPr>
          <w:b/>
          <w:color w:val="117733"/>
        </w:rPr>
        <w:t xml:space="preserve">ACTION: </w:t>
      </w:r>
      <w:r>
        <w:t>Click Evidence. Type lung nodule query.</w:t>
      </w:r>
    </w:p>
    <w:p>
      <w:r>
        <w:rPr>
          <w:b/>
          <w:color w:val="005599"/>
        </w:rPr>
        <w:t xml:space="preserve">VISUAL: </w:t>
      </w:r>
      <w:r>
        <w:t>1,938 PubMed papers. 20 cited sources. 168ms search. Follow-up pills.</w:t>
      </w:r>
    </w:p>
    <w:p>
      <w:pPr>
        <w:ind w:left="576"/>
      </w:pPr>
      <w:r>
        <w:rPr>
          <w:i/>
          <w:color w:val="335533"/>
        </w:rPr>
        <w:t>"1,938 real PubMed papers. Every claim traceable to a specific paper. This is retrieval-augmented generation grounded in published research."</w:t>
      </w:r>
    </w:p>
    <w:p>
      <w:pPr>
        <w:pStyle w:val="Heading2"/>
      </w:pPr>
      <w:r>
        <w:t>Act 7: "The Protocol" (1.5 min)</w:t>
      </w:r>
    </w:p>
    <w:p>
      <w:r>
        <w:rPr>
          <w:b/>
          <w:color w:val="117733"/>
        </w:rPr>
        <w:t xml:space="preserve">ACTION: </w:t>
      </w:r>
      <w:r>
        <w:t>Click Protocol. Select lung_cancer_screening.</w:t>
      </w:r>
    </w:p>
    <w:p>
      <w:r>
        <w:rPr>
          <w:b/>
          <w:color w:val="005599"/>
        </w:rPr>
        <w:t xml:space="preserve">VISUAL: </w:t>
      </w:r>
      <w:r>
        <w:t>LDCT ACR 9/9, 1.5 mSv. Pregnant → MRI. Renal → 2 warnings.</w:t>
      </w:r>
    </w:p>
    <w:p>
      <w:pPr>
        <w:ind w:left="576"/>
      </w:pPr>
      <w:r>
        <w:rPr>
          <w:i/>
          <w:color w:val="335533"/>
        </w:rPr>
        <w:t>"ACR Appropriateness Criteria. It switches to MRI for pregnant patients. Two renal warnings for eGFR 25."</w:t>
      </w:r>
    </w:p>
    <w:p>
      <w:pPr>
        <w:pStyle w:val="Heading2"/>
      </w:pPr>
      <w:r>
        <w:t>Act 8: "The Dose" (1 min)</w:t>
      </w:r>
    </w:p>
    <w:p>
      <w:r>
        <w:rPr>
          <w:b/>
          <w:color w:val="117733"/>
        </w:rPr>
        <w:t xml:space="preserve">ACTION: </w:t>
      </w:r>
      <w:r>
        <w:t>Click Dose Tracking. Lookup MARIA_DEMO.</w:t>
      </w:r>
    </w:p>
    <w:p>
      <w:r>
        <w:rPr>
          <w:b/>
          <w:color w:val="005599"/>
        </w:rPr>
        <w:t xml:space="preserve">VISUAL: </w:t>
      </w:r>
      <w:r>
        <w:t>8.5 mSv cumulative, NORMAL green badge, dose gauge.</w:t>
      </w:r>
    </w:p>
    <w:p>
      <w:pPr>
        <w:ind w:left="576"/>
      </w:pPr>
      <w:r>
        <w:rPr>
          <w:i/>
          <w:color w:val="335533"/>
        </w:rPr>
        <w:t>"8.5 millisieverts. Well within the normal threshold of 20."</w:t>
      </w:r>
    </w:p>
    <w:p>
      <w:pPr>
        <w:pStyle w:val="Heading2"/>
      </w:pPr>
      <w:r>
        <w:t>Act 9: "The Analytics" (1 min)</w:t>
      </w:r>
    </w:p>
    <w:p>
      <w:r>
        <w:rPr>
          <w:b/>
          <w:color w:val="117733"/>
        </w:rPr>
        <w:t xml:space="preserve">ACTION: </w:t>
      </w:r>
      <w:r>
        <w:t>Click Analytics. Generate Demo Data.</w:t>
      </w:r>
    </w:p>
    <w:p>
      <w:r>
        <w:rPr>
          <w:b/>
          <w:color w:val="005599"/>
        </w:rPr>
        <w:t xml:space="preserve">VISUAL: </w:t>
      </w:r>
      <w:r>
        <w:t>500 studies, modality bars, severity donut, trend line.</w:t>
      </w:r>
    </w:p>
    <w:p>
      <w:pPr>
        <w:ind w:left="576"/>
      </w:pPr>
      <w:r>
        <w:rPr>
          <w:i/>
          <w:color w:val="335533"/>
        </w:rPr>
        <w:t>"Population analytics. GPU-accelerated with NVIDIA RAPIDS."</w:t>
      </w:r>
    </w:p>
    <w:p>
      <w:pPr>
        <w:pStyle w:val="Heading2"/>
      </w:pPr>
      <w:r>
        <w:t>Act 10: "The Report" (1 min)</w:t>
      </w:r>
    </w:p>
    <w:p>
      <w:r>
        <w:rPr>
          <w:b/>
          <w:color w:val="117733"/>
        </w:rPr>
        <w:t xml:space="preserve">ACTION: </w:t>
      </w:r>
      <w:r>
        <w:t>Click Reports. Generate lung nodule report.</w:t>
      </w:r>
    </w:p>
    <w:p>
      <w:r>
        <w:rPr>
          <w:b/>
          <w:color w:val="005599"/>
        </w:rPr>
        <w:t xml:space="preserve">VISUAL: </w:t>
      </w:r>
      <w:r>
        <w:t>11,000+ char markdown report. 5 export formats.</w:t>
      </w:r>
    </w:p>
    <w:p>
      <w:pPr>
        <w:ind w:left="576"/>
      </w:pPr>
      <w:r>
        <w:rPr>
          <w:i/>
          <w:color w:val="335533"/>
        </w:rPr>
        <w:t>"Five export formats. FHIR R4 with 103 SNOMED codes. DICOM Structured Report."</w:t>
      </w:r>
    </w:p>
    <w:p>
      <w:pPr>
        <w:pStyle w:val="Heading2"/>
      </w:pPr>
      <w:r>
        <w:t>Act 11: "Side by Side" (1.5 min)</w:t>
      </w:r>
    </w:p>
    <w:p>
      <w:r>
        <w:rPr>
          <w:b/>
          <w:color w:val="117733"/>
        </w:rPr>
        <w:t xml:space="preserve">ACTION: </w:t>
      </w:r>
      <w:r>
        <w:t>Click Compare. DEMO-002 vs DEMO-006.</w:t>
      </w:r>
    </w:p>
    <w:p>
      <w:r>
        <w:rPr>
          <w:b/>
          <w:color w:val="005599"/>
        </w:rPr>
        <w:t xml:space="preserve">VISUAL: </w:t>
      </w:r>
      <w:r>
        <w:t>Lung-RADS 4B vs TI-RADS TR5. Different modalities, both critical, different genes.</w:t>
      </w:r>
    </w:p>
    <w:p>
      <w:pPr>
        <w:ind w:left="576"/>
      </w:pPr>
      <w:r>
        <w:rPr>
          <w:i/>
          <w:color w:val="335533"/>
        </w:rPr>
        <w:t>"Two patients. Two organ systems. Two modalities. Same device. One platform."</w:t>
      </w:r>
    </w:p>
    <w:p>
      <w:pPr>
        <w:pStyle w:val="Heading2"/>
      </w:pPr>
      <w:r>
        <w:t>Act 12: "The Number" (1 min)</w:t>
      </w:r>
    </w:p>
    <w:p>
      <w:r>
        <w:rPr>
          <w:b/>
          <w:color w:val="117733"/>
        </w:rPr>
        <w:t xml:space="preserve">ACTION: </w:t>
      </w:r>
      <w:r>
        <w:t>Click Benchmarks.</w:t>
      </w:r>
    </w:p>
    <w:p>
      <w:r>
        <w:rPr>
          <w:b/>
          <w:color w:val="005599"/>
        </w:rPr>
        <w:t xml:space="preserve">VISUAL: </w:t>
      </w:r>
      <w:r>
        <w:t>20 NVIDIA technologies. 9 workflows. 7 scoring systems. 1,324 tests. $4,699. $0 software. Apache 2.0.</w:t>
      </w:r>
    </w:p>
    <w:p>
      <w:pPr>
        <w:ind w:left="576"/>
      </w:pPr>
      <w:r>
        <w:rPr>
          <w:i/>
          <w:color w:val="335533"/>
        </w:rPr>
        <w:t>"Total cost: $4,699. Zero software licensing. Zero cloud. Zero vendor lock-in. Every hospital on earth. No exceptions."</w:t>
      </w:r>
    </w:p>
    <w:p>
      <w:r>
        <w:t>____________________________________________________________</w:t>
      </w:r>
    </w:p>
    <w:p>
      <w:pPr>
        <w:pStyle w:val="Heading2"/>
      </w:pPr>
      <w:r>
        <w:t>Timing Guide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237"/>
        <w:gridCol w:w="2237"/>
        <w:gridCol w:w="2237"/>
        <w:gridCol w:w="2237"/>
      </w:tblGrid>
      <w:tr>
        <w:tc>
          <w:tcPr>
            <w:tcW w:type="dxa" w:w="2237"/>
          </w:tcPr>
          <w:p>
            <w:r/>
            <w:r>
              <w:rPr>
                <w:b/>
                <w:sz w:val="20"/>
              </w:rPr>
              <w:t>Act</w:t>
            </w:r>
          </w:p>
        </w:tc>
        <w:tc>
          <w:tcPr>
            <w:tcW w:type="dxa" w:w="2237"/>
          </w:tcPr>
          <w:p>
            <w:r/>
            <w:r>
              <w:rPr>
                <w:b/>
                <w:sz w:val="20"/>
              </w:rPr>
              <w:t>Content</w:t>
            </w:r>
          </w:p>
        </w:tc>
        <w:tc>
          <w:tcPr>
            <w:tcW w:type="dxa" w:w="2237"/>
          </w:tcPr>
          <w:p>
            <w:r/>
            <w:r>
              <w:rPr>
                <w:b/>
                <w:sz w:val="20"/>
              </w:rPr>
              <w:t>Duration</w:t>
            </w:r>
          </w:p>
        </w:tc>
        <w:tc>
          <w:tcPr>
            <w:tcW w:type="dxa" w:w="2237"/>
          </w:tcPr>
          <w:p>
            <w:r/>
            <w:r>
              <w:rPr>
                <w:b/>
                <w:sz w:val="20"/>
              </w:rPr>
              <w:t>Total</w:t>
            </w:r>
          </w:p>
        </w:tc>
      </w:tr>
      <w:tr>
        <w:tc>
          <w:tcPr>
            <w:tcW w:type="dxa" w:w="223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2237"/>
          </w:tcPr>
          <w:p>
            <w:r>
              <w:rPr>
                <w:sz w:val="20"/>
              </w:rPr>
              <w:t>Dashboard</w:t>
            </w:r>
          </w:p>
        </w:tc>
        <w:tc>
          <w:tcPr>
            <w:tcW w:type="dxa" w:w="2237"/>
          </w:tcPr>
          <w:p>
            <w:r>
              <w:rPr>
                <w:sz w:val="20"/>
              </w:rPr>
              <w:t>2:00</w:t>
            </w:r>
          </w:p>
        </w:tc>
        <w:tc>
          <w:tcPr>
            <w:tcW w:type="dxa" w:w="2237"/>
          </w:tcPr>
          <w:p>
            <w:r>
              <w:rPr>
                <w:sz w:val="20"/>
              </w:rPr>
              <w:t>2:00</w:t>
            </w:r>
          </w:p>
        </w:tc>
      </w:tr>
      <w:tr>
        <w:tc>
          <w:tcPr>
            <w:tcW w:type="dxa" w:w="2237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2237"/>
          </w:tcPr>
          <w:p>
            <w:r>
              <w:rPr>
                <w:sz w:val="20"/>
              </w:rPr>
              <w:t>Workflows</w:t>
            </w:r>
          </w:p>
        </w:tc>
        <w:tc>
          <w:tcPr>
            <w:tcW w:type="dxa" w:w="2237"/>
          </w:tcPr>
          <w:p>
            <w:r>
              <w:rPr>
                <w:sz w:val="20"/>
              </w:rPr>
              <w:t>2:00</w:t>
            </w:r>
          </w:p>
        </w:tc>
        <w:tc>
          <w:tcPr>
            <w:tcW w:type="dxa" w:w="2237"/>
          </w:tcPr>
          <w:p>
            <w:r>
              <w:rPr>
                <w:sz w:val="20"/>
              </w:rPr>
              <w:t>4:00</w:t>
            </w:r>
          </w:p>
        </w:tc>
      </w:tr>
      <w:tr>
        <w:tc>
          <w:tcPr>
            <w:tcW w:type="dxa" w:w="223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2237"/>
          </w:tcPr>
          <w:p>
            <w:r>
              <w:rPr>
                <w:sz w:val="20"/>
              </w:rPr>
              <w:t>Maria Santos</w:t>
            </w:r>
          </w:p>
        </w:tc>
        <w:tc>
          <w:tcPr>
            <w:tcW w:type="dxa" w:w="2237"/>
          </w:tcPr>
          <w:p>
            <w:r>
              <w:rPr>
                <w:sz w:val="20"/>
              </w:rPr>
              <w:t>4:00</w:t>
            </w:r>
          </w:p>
        </w:tc>
        <w:tc>
          <w:tcPr>
            <w:tcW w:type="dxa" w:w="2237"/>
          </w:tcPr>
          <w:p>
            <w:r>
              <w:rPr>
                <w:sz w:val="20"/>
              </w:rPr>
              <w:t>8:00</w:t>
            </w:r>
          </w:p>
        </w:tc>
      </w:tr>
      <w:tr>
        <w:tc>
          <w:tcPr>
            <w:tcW w:type="dxa" w:w="2237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2237"/>
          </w:tcPr>
          <w:p>
            <w:r>
              <w:rPr>
                <w:sz w:val="20"/>
              </w:rPr>
              <w:t>Stroke</w:t>
            </w:r>
          </w:p>
        </w:tc>
        <w:tc>
          <w:tcPr>
            <w:tcW w:type="dxa" w:w="2237"/>
          </w:tcPr>
          <w:p>
            <w:r>
              <w:rPr>
                <w:sz w:val="20"/>
              </w:rPr>
              <w:t>2:00</w:t>
            </w:r>
          </w:p>
        </w:tc>
        <w:tc>
          <w:tcPr>
            <w:tcW w:type="dxa" w:w="2237"/>
          </w:tcPr>
          <w:p>
            <w:r>
              <w:rPr>
                <w:sz w:val="20"/>
              </w:rPr>
              <w:t>10:00</w:t>
            </w:r>
          </w:p>
        </w:tc>
      </w:tr>
      <w:tr>
        <w:tc>
          <w:tcPr>
            <w:tcW w:type="dxa" w:w="2237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2237"/>
          </w:tcPr>
          <w:p>
            <w:r>
              <w:rPr>
                <w:sz w:val="20"/>
              </w:rPr>
              <w:t>Quick Fire</w:t>
            </w:r>
          </w:p>
        </w:tc>
        <w:tc>
          <w:tcPr>
            <w:tcW w:type="dxa" w:w="2237"/>
          </w:tcPr>
          <w:p>
            <w:r>
              <w:rPr>
                <w:sz w:val="20"/>
              </w:rPr>
              <w:t>2:00</w:t>
            </w:r>
          </w:p>
        </w:tc>
        <w:tc>
          <w:tcPr>
            <w:tcW w:type="dxa" w:w="2237"/>
          </w:tcPr>
          <w:p>
            <w:r>
              <w:rPr>
                <w:sz w:val="20"/>
              </w:rPr>
              <w:t>12:00</w:t>
            </w:r>
          </w:p>
        </w:tc>
      </w:tr>
      <w:tr>
        <w:tc>
          <w:tcPr>
            <w:tcW w:type="dxa" w:w="2237"/>
          </w:tcPr>
          <w:p>
            <w:r>
              <w:rPr>
                <w:sz w:val="20"/>
              </w:rPr>
              <w:t>6</w:t>
            </w:r>
          </w:p>
        </w:tc>
        <w:tc>
          <w:tcPr>
            <w:tcW w:type="dxa" w:w="2237"/>
          </w:tcPr>
          <w:p>
            <w:r>
              <w:rPr>
                <w:sz w:val="20"/>
              </w:rPr>
              <w:t>Evidence</w:t>
            </w:r>
          </w:p>
        </w:tc>
        <w:tc>
          <w:tcPr>
            <w:tcW w:type="dxa" w:w="2237"/>
          </w:tcPr>
          <w:p>
            <w:r>
              <w:rPr>
                <w:sz w:val="20"/>
              </w:rPr>
              <w:t>2:00</w:t>
            </w:r>
          </w:p>
        </w:tc>
        <w:tc>
          <w:tcPr>
            <w:tcW w:type="dxa" w:w="2237"/>
          </w:tcPr>
          <w:p>
            <w:r>
              <w:rPr>
                <w:sz w:val="20"/>
              </w:rPr>
              <w:t>14:00</w:t>
            </w:r>
          </w:p>
        </w:tc>
      </w:tr>
      <w:tr>
        <w:tc>
          <w:tcPr>
            <w:tcW w:type="dxa" w:w="2237"/>
          </w:tcPr>
          <w:p>
            <w:r>
              <w:rPr>
                <w:sz w:val="20"/>
              </w:rPr>
              <w:t>7</w:t>
            </w:r>
          </w:p>
        </w:tc>
        <w:tc>
          <w:tcPr>
            <w:tcW w:type="dxa" w:w="2237"/>
          </w:tcPr>
          <w:p>
            <w:r>
              <w:rPr>
                <w:sz w:val="20"/>
              </w:rPr>
              <w:t>Protocol</w:t>
            </w:r>
          </w:p>
        </w:tc>
        <w:tc>
          <w:tcPr>
            <w:tcW w:type="dxa" w:w="2237"/>
          </w:tcPr>
          <w:p>
            <w:r>
              <w:rPr>
                <w:sz w:val="20"/>
              </w:rPr>
              <w:t>1:30</w:t>
            </w:r>
          </w:p>
        </w:tc>
        <w:tc>
          <w:tcPr>
            <w:tcW w:type="dxa" w:w="2237"/>
          </w:tcPr>
          <w:p>
            <w:r>
              <w:rPr>
                <w:sz w:val="20"/>
              </w:rPr>
              <w:t>15:30</w:t>
            </w:r>
          </w:p>
        </w:tc>
      </w:tr>
      <w:tr>
        <w:tc>
          <w:tcPr>
            <w:tcW w:type="dxa" w:w="2237"/>
          </w:tcPr>
          <w:p>
            <w:r>
              <w:rPr>
                <w:sz w:val="20"/>
              </w:rPr>
              <w:t>8</w:t>
            </w:r>
          </w:p>
        </w:tc>
        <w:tc>
          <w:tcPr>
            <w:tcW w:type="dxa" w:w="2237"/>
          </w:tcPr>
          <w:p>
            <w:r>
              <w:rPr>
                <w:sz w:val="20"/>
              </w:rPr>
              <w:t>Dose</w:t>
            </w:r>
          </w:p>
        </w:tc>
        <w:tc>
          <w:tcPr>
            <w:tcW w:type="dxa" w:w="2237"/>
          </w:tcPr>
          <w:p>
            <w:r>
              <w:rPr>
                <w:sz w:val="20"/>
              </w:rPr>
              <w:t>1:00</w:t>
            </w:r>
          </w:p>
        </w:tc>
        <w:tc>
          <w:tcPr>
            <w:tcW w:type="dxa" w:w="2237"/>
          </w:tcPr>
          <w:p>
            <w:r>
              <w:rPr>
                <w:sz w:val="20"/>
              </w:rPr>
              <w:t>16:30</w:t>
            </w:r>
          </w:p>
        </w:tc>
      </w:tr>
      <w:tr>
        <w:tc>
          <w:tcPr>
            <w:tcW w:type="dxa" w:w="2237"/>
          </w:tcPr>
          <w:p>
            <w:r>
              <w:rPr>
                <w:sz w:val="20"/>
              </w:rPr>
              <w:t>9</w:t>
            </w:r>
          </w:p>
        </w:tc>
        <w:tc>
          <w:tcPr>
            <w:tcW w:type="dxa" w:w="2237"/>
          </w:tcPr>
          <w:p>
            <w:r>
              <w:rPr>
                <w:sz w:val="20"/>
              </w:rPr>
              <w:t>Analytics</w:t>
            </w:r>
          </w:p>
        </w:tc>
        <w:tc>
          <w:tcPr>
            <w:tcW w:type="dxa" w:w="2237"/>
          </w:tcPr>
          <w:p>
            <w:r>
              <w:rPr>
                <w:sz w:val="20"/>
              </w:rPr>
              <w:t>1:00</w:t>
            </w:r>
          </w:p>
        </w:tc>
        <w:tc>
          <w:tcPr>
            <w:tcW w:type="dxa" w:w="2237"/>
          </w:tcPr>
          <w:p>
            <w:r>
              <w:rPr>
                <w:sz w:val="20"/>
              </w:rPr>
              <w:t>17:30</w:t>
            </w:r>
          </w:p>
        </w:tc>
      </w:tr>
      <w:tr>
        <w:tc>
          <w:tcPr>
            <w:tcW w:type="dxa" w:w="2237"/>
          </w:tcPr>
          <w:p>
            <w:r>
              <w:rPr>
                <w:sz w:val="20"/>
              </w:rPr>
              <w:t>10</w:t>
            </w:r>
          </w:p>
        </w:tc>
        <w:tc>
          <w:tcPr>
            <w:tcW w:type="dxa" w:w="2237"/>
          </w:tcPr>
          <w:p>
            <w:r>
              <w:rPr>
                <w:sz w:val="20"/>
              </w:rPr>
              <w:t>Reports</w:t>
            </w:r>
          </w:p>
        </w:tc>
        <w:tc>
          <w:tcPr>
            <w:tcW w:type="dxa" w:w="2237"/>
          </w:tcPr>
          <w:p>
            <w:r>
              <w:rPr>
                <w:sz w:val="20"/>
              </w:rPr>
              <w:t>1:00</w:t>
            </w:r>
          </w:p>
        </w:tc>
        <w:tc>
          <w:tcPr>
            <w:tcW w:type="dxa" w:w="2237"/>
          </w:tcPr>
          <w:p>
            <w:r>
              <w:rPr>
                <w:sz w:val="20"/>
              </w:rPr>
              <w:t>18:30</w:t>
            </w:r>
          </w:p>
        </w:tc>
      </w:tr>
      <w:tr>
        <w:tc>
          <w:tcPr>
            <w:tcW w:type="dxa" w:w="2237"/>
          </w:tcPr>
          <w:p>
            <w:r>
              <w:rPr>
                <w:sz w:val="20"/>
              </w:rPr>
              <w:t>11</w:t>
            </w:r>
          </w:p>
        </w:tc>
        <w:tc>
          <w:tcPr>
            <w:tcW w:type="dxa" w:w="2237"/>
          </w:tcPr>
          <w:p>
            <w:r>
              <w:rPr>
                <w:sz w:val="20"/>
              </w:rPr>
              <w:t>Compare</w:t>
            </w:r>
          </w:p>
        </w:tc>
        <w:tc>
          <w:tcPr>
            <w:tcW w:type="dxa" w:w="2237"/>
          </w:tcPr>
          <w:p>
            <w:r>
              <w:rPr>
                <w:sz w:val="20"/>
              </w:rPr>
              <w:t>1:30</w:t>
            </w:r>
          </w:p>
        </w:tc>
        <w:tc>
          <w:tcPr>
            <w:tcW w:type="dxa" w:w="2237"/>
          </w:tcPr>
          <w:p>
            <w:r>
              <w:rPr>
                <w:sz w:val="20"/>
              </w:rPr>
              <w:t>20:00</w:t>
            </w:r>
          </w:p>
        </w:tc>
      </w:tr>
      <w:tr>
        <w:tc>
          <w:tcPr>
            <w:tcW w:type="dxa" w:w="2237"/>
          </w:tcPr>
          <w:p>
            <w:r>
              <w:rPr>
                <w:sz w:val="20"/>
              </w:rPr>
              <w:t>12</w:t>
            </w:r>
          </w:p>
        </w:tc>
        <w:tc>
          <w:tcPr>
            <w:tcW w:type="dxa" w:w="2237"/>
          </w:tcPr>
          <w:p>
            <w:r>
              <w:rPr>
                <w:sz w:val="20"/>
              </w:rPr>
              <w:t>The Number</w:t>
            </w:r>
          </w:p>
        </w:tc>
        <w:tc>
          <w:tcPr>
            <w:tcW w:type="dxa" w:w="2237"/>
          </w:tcPr>
          <w:p>
            <w:r>
              <w:rPr>
                <w:sz w:val="20"/>
              </w:rPr>
              <w:t>1:00</w:t>
            </w:r>
          </w:p>
        </w:tc>
        <w:tc>
          <w:tcPr>
            <w:tcW w:type="dxa" w:w="2237"/>
          </w:tcPr>
          <w:p>
            <w:r>
              <w:rPr>
                <w:sz w:val="20"/>
              </w:rPr>
              <w:t>21:00</w:t>
            </w:r>
          </w:p>
        </w:tc>
      </w:tr>
    </w:tbl>
    <w:p/>
    <w:p>
      <w:pPr>
        <w:pStyle w:val="Heading2"/>
      </w:pPr>
      <w:r>
        <w:t>Key Numbers</w:t>
      </w:r>
    </w:p>
    <w:p>
      <w:r>
        <w:rPr>
          <w:b/>
          <w:color w:val="117733"/>
        </w:rPr>
        <w:t xml:space="preserve">$4,699 — </w:t>
      </w:r>
      <w:r>
        <w:t>Hardware cost</w:t>
      </w:r>
    </w:p>
    <w:p>
      <w:r>
        <w:rPr>
          <w:b/>
          <w:color w:val="117733"/>
        </w:rPr>
        <w:t xml:space="preserve">38,028 — </w:t>
      </w:r>
      <w:r>
        <w:t>Vectors</w:t>
      </w:r>
    </w:p>
    <w:p>
      <w:r>
        <w:rPr>
          <w:b/>
          <w:color w:val="117733"/>
        </w:rPr>
        <w:t xml:space="preserve">1,938 — </w:t>
      </w:r>
      <w:r>
        <w:t>PubMed papers</w:t>
      </w:r>
    </w:p>
    <w:p>
      <w:r>
        <w:rPr>
          <w:b/>
          <w:color w:val="117733"/>
        </w:rPr>
        <w:t xml:space="preserve">9 — </w:t>
      </w:r>
      <w:r>
        <w:t>Workflows</w:t>
      </w:r>
    </w:p>
    <w:p>
      <w:r>
        <w:rPr>
          <w:b/>
          <w:color w:val="117733"/>
        </w:rPr>
        <w:t xml:space="preserve">7 — </w:t>
      </w:r>
      <w:r>
        <w:t>Scoring systems</w:t>
      </w:r>
    </w:p>
    <w:p>
      <w:r>
        <w:rPr>
          <w:b/>
          <w:color w:val="117733"/>
        </w:rPr>
        <w:t xml:space="preserve">8 — </w:t>
      </w:r>
      <w:r>
        <w:t>Cross-modal triggers</w:t>
      </w:r>
    </w:p>
    <w:p>
      <w:r>
        <w:rPr>
          <w:b/>
          <w:color w:val="117733"/>
        </w:rPr>
        <w:t xml:space="preserve">20 — </w:t>
      </w:r>
      <w:r>
        <w:t>NVIDIA technologies</w:t>
      </w:r>
    </w:p>
    <w:p>
      <w:r>
        <w:rPr>
          <w:b/>
          <w:color w:val="117733"/>
        </w:rPr>
        <w:t xml:space="preserve">103 — </w:t>
      </w:r>
      <w:r>
        <w:t>SNOMED codes</w:t>
      </w:r>
    </w:p>
    <w:p>
      <w:r>
        <w:rPr>
          <w:b/>
          <w:color w:val="117733"/>
        </w:rPr>
        <w:t xml:space="preserve">1,324 — </w:t>
      </w:r>
      <w:r>
        <w:t>Tests</w:t>
      </w:r>
    </w:p>
    <w:p>
      <w:r>
        <w:rPr>
          <w:b/>
          <w:color w:val="117733"/>
        </w:rPr>
        <w:t xml:space="preserve">5 — </w:t>
      </w:r>
      <w:r>
        <w:t>Export formats</w:t>
      </w:r>
    </w:p>
    <w:p>
      <w:r>
        <w:rPr>
          <w:b/>
          <w:color w:val="117733"/>
        </w:rPr>
        <w:t xml:space="preserve">$0 — </w:t>
      </w:r>
      <w:r>
        <w:t>Software cost</w:t>
      </w:r>
    </w:p>
    <w:sectPr w:rsidR="00FC693F" w:rsidRPr="0006063C" w:rsidSect="00034616">
      <w:pgSz w:w="12240" w:h="15840"/>
      <w:pgMar w:top="1037" w:right="1646" w:bottom="1037" w:left="164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333333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17733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17733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17733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