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67C8" w14:textId="77777777" w:rsidR="005F4D38" w:rsidRDefault="005F4D38"/>
    <w:p w14:paraId="5B0C33FA" w14:textId="02341832" w:rsidR="005F4D38" w:rsidRPr="00CC4D91" w:rsidRDefault="00CC4D91" w:rsidP="00145B0D">
      <w:pPr>
        <w:jc w:val="center"/>
        <w:rPr>
          <w:color w:val="7F7F7F" w:themeColor="text1" w:themeTint="80"/>
        </w:rPr>
      </w:pPr>
      <w:r w:rsidRPr="00CC4D91">
        <w:rPr>
          <w:b/>
          <w:color w:val="7F7F7F" w:themeColor="text1" w:themeTint="80"/>
          <w:sz w:val="48"/>
        </w:rPr>
        <w:t>Open-</w:t>
      </w:r>
      <w:r w:rsidR="00374451">
        <w:rPr>
          <w:b/>
          <w:color w:val="7F7F7F" w:themeColor="text1" w:themeTint="80"/>
          <w:sz w:val="48"/>
        </w:rPr>
        <w:t>Source</w:t>
      </w:r>
      <w:r w:rsidRPr="00CC4D91">
        <w:rPr>
          <w:b/>
          <w:color w:val="7F7F7F" w:themeColor="text1" w:themeTint="80"/>
          <w:sz w:val="48"/>
        </w:rPr>
        <w:t xml:space="preserve"> Project</w:t>
      </w:r>
    </w:p>
    <w:p w14:paraId="7E32F33B" w14:textId="77777777" w:rsidR="005F4D38" w:rsidRDefault="005F4D38" w:rsidP="00145B0D">
      <w:pPr>
        <w:jc w:val="center"/>
      </w:pPr>
    </w:p>
    <w:p w14:paraId="03AA107A" w14:textId="77777777" w:rsidR="005F4D38" w:rsidRDefault="005F4D38" w:rsidP="00145B0D">
      <w:pPr>
        <w:jc w:val="center"/>
      </w:pPr>
    </w:p>
    <w:p w14:paraId="2E46DD7B" w14:textId="77777777" w:rsidR="005F4D38" w:rsidRDefault="005F4D38" w:rsidP="00145B0D">
      <w:pPr>
        <w:jc w:val="center"/>
      </w:pPr>
    </w:p>
    <w:p w14:paraId="6FAB8442" w14:textId="77777777" w:rsidR="005F4D38" w:rsidRPr="00145B0D" w:rsidRDefault="00000000" w:rsidP="00145B0D">
      <w:pPr>
        <w:jc w:val="center"/>
        <w:rPr>
          <w:color w:val="31849B" w:themeColor="accent5" w:themeShade="BF"/>
        </w:rPr>
      </w:pPr>
      <w:r w:rsidRPr="00145B0D">
        <w:rPr>
          <w:b/>
          <w:color w:val="31849B" w:themeColor="accent5" w:themeShade="BF"/>
          <w:sz w:val="26"/>
        </w:rPr>
        <w:t>White Paper</w:t>
      </w:r>
    </w:p>
    <w:p w14:paraId="21FDCA3F" w14:textId="77777777" w:rsidR="005F4D38" w:rsidRDefault="00000000" w:rsidP="00145B0D">
      <w:pPr>
        <w:spacing w:after="80"/>
        <w:jc w:val="center"/>
      </w:pPr>
      <w:r>
        <w:rPr>
          <w:b/>
          <w:color w:val="1B2333"/>
          <w:sz w:val="60"/>
        </w:rPr>
        <w:t>HCLS AI Factory</w:t>
      </w:r>
    </w:p>
    <w:p w14:paraId="20448684" w14:textId="6ED4861E" w:rsidR="005F4D38" w:rsidRDefault="00000000" w:rsidP="00145B0D">
      <w:pPr>
        <w:spacing w:after="80"/>
        <w:jc w:val="center"/>
      </w:pPr>
      <w:r>
        <w:rPr>
          <w:b/>
          <w:color w:val="1B2333"/>
          <w:sz w:val="48"/>
        </w:rPr>
        <w:t>on NVIDIA DGX Spark</w:t>
      </w:r>
    </w:p>
    <w:p w14:paraId="7FE92F32" w14:textId="77777777" w:rsidR="005F4D38" w:rsidRDefault="00000000" w:rsidP="00145B0D">
      <w:pPr>
        <w:jc w:val="center"/>
      </w:pPr>
      <w:r>
        <w:rPr>
          <w:color w:val="1B2333"/>
          <w:sz w:val="24"/>
        </w:rPr>
        <w:t>From Patient DNA to Novel Drug Candidates in Under Five Hours — GPU-Accelerated Genomics, RAG-Grounded Target Identification, and AI-Driven Drug Discovery</w:t>
      </w:r>
    </w:p>
    <w:p w14:paraId="2FC488AD" w14:textId="394CCC44" w:rsidR="005F4D38" w:rsidRDefault="00000000" w:rsidP="00145B0D">
      <w:pPr>
        <w:spacing w:after="160"/>
        <w:jc w:val="center"/>
      </w:pPr>
      <w:r>
        <w:rPr>
          <w:i/>
          <w:color w:val="666666"/>
          <w:sz w:val="22"/>
        </w:rPr>
        <w:t xml:space="preserve">NVIDIA DGX </w:t>
      </w:r>
      <w:proofErr w:type="gramStart"/>
      <w:r>
        <w:rPr>
          <w:i/>
          <w:color w:val="666666"/>
          <w:sz w:val="22"/>
        </w:rPr>
        <w:t>Spark  |</w:t>
      </w:r>
      <w:proofErr w:type="gramEnd"/>
      <w:r>
        <w:rPr>
          <w:i/>
          <w:color w:val="666666"/>
          <w:sz w:val="22"/>
        </w:rPr>
        <w:t xml:space="preserve">  </w:t>
      </w:r>
      <w:proofErr w:type="spellStart"/>
      <w:proofErr w:type="gramStart"/>
      <w:r>
        <w:rPr>
          <w:i/>
          <w:color w:val="666666"/>
          <w:sz w:val="22"/>
        </w:rPr>
        <w:t>Parabricks</w:t>
      </w:r>
      <w:proofErr w:type="spellEnd"/>
      <w:r>
        <w:rPr>
          <w:i/>
          <w:color w:val="666666"/>
          <w:sz w:val="22"/>
        </w:rPr>
        <w:t xml:space="preserve">  |</w:t>
      </w:r>
      <w:proofErr w:type="gramEnd"/>
      <w:r>
        <w:rPr>
          <w:i/>
          <w:color w:val="666666"/>
          <w:sz w:val="22"/>
        </w:rPr>
        <w:t xml:space="preserve">  </w:t>
      </w:r>
      <w:proofErr w:type="spellStart"/>
      <w:r>
        <w:rPr>
          <w:i/>
          <w:color w:val="666666"/>
          <w:sz w:val="22"/>
        </w:rPr>
        <w:t>BioNeMo</w:t>
      </w:r>
      <w:proofErr w:type="spellEnd"/>
    </w:p>
    <w:p w14:paraId="21BC23E6" w14:textId="77777777" w:rsidR="005F4D38" w:rsidRDefault="005F4D38" w:rsidP="00145B0D">
      <w:pPr>
        <w:jc w:val="center"/>
      </w:pPr>
    </w:p>
    <w:p w14:paraId="49B9FA3B" w14:textId="77777777" w:rsidR="005F4D38" w:rsidRDefault="00000000" w:rsidP="00145B0D">
      <w:pPr>
        <w:spacing w:after="40"/>
        <w:jc w:val="center"/>
      </w:pPr>
      <w:r>
        <w:rPr>
          <w:color w:val="666666"/>
          <w:sz w:val="18"/>
        </w:rPr>
        <w:t>02/2026  |  Version 1.0  |  Apache 2.0 License</w:t>
      </w:r>
    </w:p>
    <w:p w14:paraId="637687D6" w14:textId="3CB64A7F" w:rsidR="005F4D38" w:rsidRDefault="00000000" w:rsidP="00145B0D">
      <w:pPr>
        <w:spacing w:after="40"/>
        <w:jc w:val="center"/>
      </w:pPr>
      <w:r>
        <w:rPr>
          <w:color w:val="666666"/>
          <w:sz w:val="18"/>
        </w:rPr>
        <w:t>Author: Adam Jone</w:t>
      </w:r>
      <w:r w:rsidR="002E5F89">
        <w:rPr>
          <w:color w:val="666666"/>
          <w:sz w:val="18"/>
        </w:rPr>
        <w:t>s</w:t>
      </w:r>
      <w:r>
        <w:br w:type="page"/>
      </w:r>
    </w:p>
    <w:p w14:paraId="55461740" w14:textId="77777777" w:rsidR="005F4D38" w:rsidRDefault="00000000">
      <w:pPr>
        <w:pStyle w:val="Heading1"/>
        <w:spacing w:after="160"/>
      </w:pPr>
      <w:r>
        <w:rPr>
          <w:rFonts w:ascii="Calibri" w:hAnsi="Calibri"/>
          <w:color w:val="1B2333"/>
          <w:sz w:val="44"/>
        </w:rPr>
        <w:lastRenderedPageBreak/>
        <w:t>1. Executive Summary</w:t>
      </w:r>
    </w:p>
    <w:p w14:paraId="7CF6CB69" w14:textId="77777777" w:rsidR="005F4D38" w:rsidRDefault="00000000">
      <w:r>
        <w:t>The HCLS AI Factory follows a reusable pattern: identify a canonical artifact, build a persistent data model around it, and let agentic workflows operate continuously on that model. In genomics, the canonical artifact is the VCF — a structured record of every genomic variant identified in a patient’s DNA.</w:t>
      </w:r>
    </w:p>
    <w:p w14:paraId="22E68131" w14:textId="77777777" w:rsidR="005F4D38" w:rsidRDefault="00000000">
      <w:r>
        <w:t>This white paper describes an end-to-end platform that processes raw DNA sequencing data through GPU-accelerated variant calling, RAG-grounded clinical reasoning, and AI-driven drug discovery — all on a single NVIDIA DGX Spark desktop workstation.</w:t>
      </w:r>
    </w:p>
    <w:p w14:paraId="7FF70CFD" w14:textId="77777777" w:rsidR="005F4D38" w:rsidRDefault="00000000">
      <w:r>
        <w:t>The platform transforms patient FASTQ files (~200 GB of raw sequencing data from a 30× whole-genome study) into 100 ranked novel drug candidates in under 5 hours. Three stages execute sequentially: NVIDIA Parabricks performs GPU-accelerated alignment and variant calling (120-240 min), producing ~11.7 million variants. A RAG pipeline annotates variants with ClinVar, AlphaMissense, and VEP, indexes 3.5 million high-quality variants in a Milvus vector database, and uses Anthropic Claude to identify druggable gene targets. Finally, BioNeMo NIM services (MolMIM and DiffDock) generate novel molecules, predict binding affinities, and rank candidates by a composite drug-likeness score.</w:t>
      </w:r>
    </w:p>
    <w:p w14:paraId="43BA3E18" w14:textId="77777777" w:rsidR="005F4D38" w:rsidRDefault="00000000">
      <w:r>
        <w:t>The architecture is designed to run end-to-end on a $3,999 DGX Spark for proof builds and scale to DGX SuperPOD for enterprise deployments. All components are open-source or NVIDIA-licensed, released under Apache 2.0 as part of the HCLS AI Factory.</w:t>
      </w:r>
    </w:p>
    <w:p w14:paraId="5AED060B" w14:textId="77777777" w:rsidR="005F4D38" w:rsidRDefault="00000000">
      <w:pPr>
        <w:pStyle w:val="Heading1"/>
        <w:spacing w:after="160"/>
      </w:pPr>
      <w:r>
        <w:rPr>
          <w:rFonts w:ascii="Calibri" w:hAnsi="Calibri"/>
          <w:color w:val="1B2333"/>
          <w:sz w:val="44"/>
        </w:rPr>
        <w:t>2. The Precision Medicine Data Challenge</w:t>
      </w:r>
    </w:p>
    <w:p w14:paraId="520DC057" w14:textId="77777777" w:rsidR="005F4D38" w:rsidRDefault="00000000">
      <w:r>
        <w:t>Precision medicine promises therapies tailored to an individual’s genetic profile. A single 30× whole-genome sequencing (WGS) run produces approximately 200 GB of raw data and 11.7 million genomic variants. The challenge is not generating this data — modern sequencers produce it reliably — but transforming it into actionable therapeutic hypotheses within a clinically relevant timeframe.</w:t>
      </w:r>
    </w:p>
    <w:p w14:paraId="7498BC78" w14:textId="77777777" w:rsidR="005F4D38" w:rsidRPr="00145B0D" w:rsidRDefault="00000000">
      <w:pPr>
        <w:spacing w:before="200" w:after="80"/>
        <w:rPr>
          <w:color w:val="31849B" w:themeColor="accent5" w:themeShade="BF"/>
        </w:rPr>
      </w:pPr>
      <w:r w:rsidRPr="00145B0D">
        <w:rPr>
          <w:b/>
          <w:color w:val="31849B" w:themeColor="accent5" w:themeShade="BF"/>
          <w:sz w:val="26"/>
        </w:rPr>
        <w:t>The Limits of Traditional Bioinformatics</w:t>
      </w:r>
    </w:p>
    <w:p w14:paraId="228332E5" w14:textId="77777777" w:rsidR="005F4D38" w:rsidRDefault="00000000">
      <w:r>
        <w:t>Today’s genomic analysis pipelines assemble disconnected components: CPU-based alignment tools that take 12-24 hours, separate variant callers, annotation databases accessed through web APIs, and manual literature review for target identification.</w:t>
      </w:r>
    </w:p>
    <w:p w14:paraId="1E4432DE" w14:textId="77777777" w:rsidR="005F4D38" w:rsidRDefault="00000000">
      <w:r>
        <w:t>This sequential, manual approach introduces three structural problems:</w:t>
      </w:r>
    </w:p>
    <w:p w14:paraId="3960208D" w14:textId="77777777" w:rsidR="005F4D38" w:rsidRDefault="00000000">
      <w:pPr>
        <w:spacing w:before="40" w:after="40"/>
        <w:ind w:left="360"/>
      </w:pPr>
      <w:r>
        <w:rPr>
          <w:b/>
        </w:rPr>
        <w:t>Compute bottleneck.</w:t>
      </w:r>
      <w:r>
        <w:t xml:space="preserve">  CPU-based BWA-MEM alignment of a 30× WGS sample takes 12-24 hours on a 32-core server. DeepVariant on CPU adds another 8-12 hours. The genomics stage alone consumes 1-2 days of wall time.</w:t>
      </w:r>
    </w:p>
    <w:p w14:paraId="37CD9A03" w14:textId="77777777" w:rsidR="005F4D38" w:rsidRDefault="00000000">
      <w:pPr>
        <w:spacing w:before="40" w:after="40"/>
        <w:ind w:left="360"/>
      </w:pPr>
      <w:r>
        <w:rPr>
          <w:b/>
        </w:rPr>
        <w:t>Annotation fragmentation.</w:t>
      </w:r>
      <w:r>
        <w:t xml:space="preserve">  Clinical variant databases (ClinVar), AI pathogenicity predictors (AlphaMissense), and functional annotation tools (VEP) exist as separate resources requiring bespoke ETL pipelines.</w:t>
      </w:r>
    </w:p>
    <w:p w14:paraId="659A484B" w14:textId="77777777" w:rsidR="005F4D38" w:rsidRDefault="00000000">
      <w:pPr>
        <w:spacing w:before="40" w:after="40"/>
        <w:ind w:left="360"/>
      </w:pPr>
      <w:r>
        <w:rPr>
          <w:b/>
        </w:rPr>
        <w:t>Target-to-drug gap.</w:t>
      </w:r>
      <w:r>
        <w:t xml:space="preserve">  Even after identifying a pathogenic variant in a druggable gene, the path to a lead compound requires separate molecular modeling tools and medicinal chemistry expertise — typically a months-long process.</w:t>
      </w:r>
    </w:p>
    <w:p w14:paraId="6AD451F7" w14:textId="77777777" w:rsidR="005F4D38" w:rsidRPr="00145B0D" w:rsidRDefault="00000000">
      <w:pPr>
        <w:spacing w:before="200" w:after="80"/>
        <w:rPr>
          <w:color w:val="31849B" w:themeColor="accent5" w:themeShade="BF"/>
        </w:rPr>
      </w:pPr>
      <w:r w:rsidRPr="00145B0D">
        <w:rPr>
          <w:b/>
          <w:color w:val="31849B" w:themeColor="accent5" w:themeShade="BF"/>
          <w:sz w:val="26"/>
        </w:rPr>
        <w:lastRenderedPageBreak/>
        <w:t>The GPU-Accelerated Opportunity</w:t>
      </w:r>
    </w:p>
    <w:p w14:paraId="6E596012" w14:textId="1E20F0C6" w:rsidR="005F4D38" w:rsidRDefault="00000000">
      <w:r>
        <w:t xml:space="preserve">NVIDIA DGX Spark collapses the compute bottleneck. Its GB10 GPU accelerates BWA-MEM2 alignment from hours to 20-45 minutes and DeepVariant variant calling from hours to 10-35 minutes — a 10-20× speedup. More importantly, the same GPU that runs genomics can run vector similarity search (Milvus), molecular generation (MolMIM), and molecular docking (DiffDock). </w:t>
      </w:r>
    </w:p>
    <w:p w14:paraId="0E2E37D7" w14:textId="77777777" w:rsidR="005F00F7" w:rsidRDefault="005F00F7" w:rsidP="005F00F7"/>
    <w:p w14:paraId="03E259F2" w14:textId="6E56ACC0" w:rsidR="005F4D38" w:rsidRPr="005F00F7" w:rsidRDefault="00000000" w:rsidP="005F00F7">
      <w:pPr>
        <w:rPr>
          <w:b/>
          <w:bCs/>
        </w:rPr>
      </w:pPr>
      <w:r w:rsidRPr="005F00F7">
        <w:rPr>
          <w:b/>
          <w:bCs/>
          <w:color w:val="1B2333"/>
          <w:sz w:val="44"/>
        </w:rPr>
        <w:t>3. Architecture Overview</w:t>
      </w:r>
    </w:p>
    <w:p w14:paraId="1DA15E60" w14:textId="77777777" w:rsidR="005F4D38" w:rsidRDefault="00000000">
      <w:pPr>
        <w:pStyle w:val="Heading2"/>
        <w:spacing w:before="320" w:after="120"/>
      </w:pPr>
      <w:r>
        <w:rPr>
          <w:rFonts w:ascii="Calibri" w:hAnsi="Calibri"/>
          <w:color w:val="1B2333"/>
          <w:sz w:val="32"/>
        </w:rPr>
        <w:t>Three-Stage Pipeline</w:t>
      </w:r>
    </w:p>
    <w:tbl>
      <w:tblPr>
        <w:tblW w:w="0" w:type="auto"/>
        <w:jc w:val="center"/>
        <w:tblLook w:val="04A0" w:firstRow="1" w:lastRow="0" w:firstColumn="1" w:lastColumn="0" w:noHBand="0" w:noVBand="1"/>
      </w:tblPr>
      <w:tblGrid>
        <w:gridCol w:w="1881"/>
        <w:gridCol w:w="1881"/>
        <w:gridCol w:w="1881"/>
        <w:gridCol w:w="1881"/>
        <w:gridCol w:w="1881"/>
      </w:tblGrid>
      <w:tr w:rsidR="005F4D38" w14:paraId="620CE314" w14:textId="77777777">
        <w:trPr>
          <w:jc w:val="center"/>
        </w:trPr>
        <w:tc>
          <w:tcPr>
            <w:tcW w:w="1881" w:type="dxa"/>
            <w:tcBorders>
              <w:top w:val="single" w:sz="4" w:space="0" w:color="1B2333"/>
              <w:left w:val="single" w:sz="4" w:space="0" w:color="1B2333"/>
              <w:bottom w:val="single" w:sz="4" w:space="0" w:color="1B2333"/>
              <w:right w:val="single" w:sz="4" w:space="0" w:color="1B2333"/>
            </w:tcBorders>
            <w:shd w:val="clear" w:color="auto" w:fill="1B2333"/>
          </w:tcPr>
          <w:p w14:paraId="52AE4AF6" w14:textId="77777777" w:rsidR="005F4D38" w:rsidRDefault="00000000">
            <w:pPr>
              <w:jc w:val="center"/>
            </w:pPr>
            <w:r>
              <w:rPr>
                <w:b/>
                <w:color w:val="FFFFFF"/>
                <w:sz w:val="18"/>
              </w:rPr>
              <w:t>Stage</w:t>
            </w:r>
          </w:p>
        </w:tc>
        <w:tc>
          <w:tcPr>
            <w:tcW w:w="1881" w:type="dxa"/>
            <w:tcBorders>
              <w:top w:val="single" w:sz="4" w:space="0" w:color="1B2333"/>
              <w:left w:val="single" w:sz="4" w:space="0" w:color="1B2333"/>
              <w:bottom w:val="single" w:sz="4" w:space="0" w:color="1B2333"/>
              <w:right w:val="single" w:sz="4" w:space="0" w:color="1B2333"/>
            </w:tcBorders>
            <w:shd w:val="clear" w:color="auto" w:fill="1B2333"/>
          </w:tcPr>
          <w:p w14:paraId="037EA127" w14:textId="77777777" w:rsidR="005F4D38" w:rsidRDefault="00000000">
            <w:pPr>
              <w:jc w:val="center"/>
            </w:pPr>
            <w:r>
              <w:rPr>
                <w:b/>
                <w:color w:val="FFFFFF"/>
                <w:sz w:val="18"/>
              </w:rPr>
              <w:t>Technology</w:t>
            </w:r>
          </w:p>
        </w:tc>
        <w:tc>
          <w:tcPr>
            <w:tcW w:w="1881" w:type="dxa"/>
            <w:tcBorders>
              <w:top w:val="single" w:sz="4" w:space="0" w:color="1B2333"/>
              <w:left w:val="single" w:sz="4" w:space="0" w:color="1B2333"/>
              <w:bottom w:val="single" w:sz="4" w:space="0" w:color="1B2333"/>
              <w:right w:val="single" w:sz="4" w:space="0" w:color="1B2333"/>
            </w:tcBorders>
            <w:shd w:val="clear" w:color="auto" w:fill="1B2333"/>
          </w:tcPr>
          <w:p w14:paraId="2BF90A38" w14:textId="77777777" w:rsidR="005F4D38" w:rsidRDefault="00000000">
            <w:pPr>
              <w:jc w:val="center"/>
            </w:pPr>
            <w:r>
              <w:rPr>
                <w:b/>
                <w:color w:val="FFFFFF"/>
                <w:sz w:val="18"/>
              </w:rPr>
              <w:t>Duration</w:t>
            </w:r>
          </w:p>
        </w:tc>
        <w:tc>
          <w:tcPr>
            <w:tcW w:w="1881" w:type="dxa"/>
            <w:tcBorders>
              <w:top w:val="single" w:sz="4" w:space="0" w:color="1B2333"/>
              <w:left w:val="single" w:sz="4" w:space="0" w:color="1B2333"/>
              <w:bottom w:val="single" w:sz="4" w:space="0" w:color="1B2333"/>
              <w:right w:val="single" w:sz="4" w:space="0" w:color="1B2333"/>
            </w:tcBorders>
            <w:shd w:val="clear" w:color="auto" w:fill="1B2333"/>
          </w:tcPr>
          <w:p w14:paraId="0C09D0E7" w14:textId="77777777" w:rsidR="005F4D38" w:rsidRDefault="00000000">
            <w:pPr>
              <w:jc w:val="center"/>
            </w:pPr>
            <w:r>
              <w:rPr>
                <w:b/>
                <w:color w:val="FFFFFF"/>
                <w:sz w:val="18"/>
              </w:rPr>
              <w:t>Input</w:t>
            </w:r>
          </w:p>
        </w:tc>
        <w:tc>
          <w:tcPr>
            <w:tcW w:w="1881" w:type="dxa"/>
            <w:tcBorders>
              <w:top w:val="single" w:sz="4" w:space="0" w:color="1B2333"/>
              <w:left w:val="single" w:sz="4" w:space="0" w:color="1B2333"/>
              <w:bottom w:val="single" w:sz="4" w:space="0" w:color="1B2333"/>
              <w:right w:val="single" w:sz="4" w:space="0" w:color="1B2333"/>
            </w:tcBorders>
            <w:shd w:val="clear" w:color="auto" w:fill="1B2333"/>
          </w:tcPr>
          <w:p w14:paraId="6F9FD720" w14:textId="77777777" w:rsidR="005F4D38" w:rsidRDefault="00000000">
            <w:pPr>
              <w:jc w:val="center"/>
            </w:pPr>
            <w:r>
              <w:rPr>
                <w:b/>
                <w:color w:val="FFFFFF"/>
                <w:sz w:val="18"/>
              </w:rPr>
              <w:t>Output</w:t>
            </w:r>
          </w:p>
        </w:tc>
      </w:tr>
      <w:tr w:rsidR="005F4D38" w14:paraId="551E8E22" w14:textId="77777777">
        <w:trPr>
          <w:jc w:val="center"/>
        </w:trPr>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23706B3B" w14:textId="77777777" w:rsidR="005F4D38" w:rsidRPr="00145B0D" w:rsidRDefault="00000000">
            <w:pPr>
              <w:spacing w:before="40" w:after="40"/>
              <w:rPr>
                <w:color w:val="31849B" w:themeColor="accent5" w:themeShade="BF"/>
              </w:rPr>
            </w:pPr>
            <w:r w:rsidRPr="00145B0D">
              <w:rPr>
                <w:b/>
                <w:color w:val="31849B" w:themeColor="accent5" w:themeShade="BF"/>
                <w:sz w:val="18"/>
              </w:rPr>
              <w:t>1 — Genomics</w:t>
            </w:r>
          </w:p>
        </w:tc>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2ACE7EAB" w14:textId="77777777" w:rsidR="005F4D38" w:rsidRDefault="00000000">
            <w:pPr>
              <w:spacing w:before="40" w:after="40"/>
            </w:pPr>
            <w:r>
              <w:rPr>
                <w:sz w:val="18"/>
              </w:rPr>
              <w:t>Parabricks 4.6</w:t>
            </w:r>
          </w:p>
        </w:tc>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4EDE1D7E" w14:textId="77777777" w:rsidR="005F4D38" w:rsidRDefault="00000000">
            <w:pPr>
              <w:spacing w:before="40" w:after="40"/>
            </w:pPr>
            <w:r>
              <w:rPr>
                <w:sz w:val="18"/>
              </w:rPr>
              <w:t>120-240 min</w:t>
            </w:r>
          </w:p>
        </w:tc>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3A1E4D88" w14:textId="77777777" w:rsidR="005F4D38" w:rsidRDefault="00000000">
            <w:pPr>
              <w:spacing w:before="40" w:after="40"/>
            </w:pPr>
            <w:r>
              <w:rPr>
                <w:sz w:val="18"/>
              </w:rPr>
              <w:t>FASTQ (~200 GB)</w:t>
            </w:r>
          </w:p>
        </w:tc>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37911D51" w14:textId="77777777" w:rsidR="005F4D38" w:rsidRDefault="00000000">
            <w:pPr>
              <w:spacing w:before="40" w:after="40"/>
            </w:pPr>
            <w:r>
              <w:rPr>
                <w:sz w:val="18"/>
              </w:rPr>
              <w:t>VCF (~11.7M variants)</w:t>
            </w:r>
          </w:p>
        </w:tc>
      </w:tr>
      <w:tr w:rsidR="005F4D38" w14:paraId="24029EFF" w14:textId="77777777">
        <w:trPr>
          <w:jc w:val="center"/>
        </w:trPr>
        <w:tc>
          <w:tcPr>
            <w:tcW w:w="1881" w:type="dxa"/>
            <w:tcBorders>
              <w:top w:val="single" w:sz="4" w:space="0" w:color="E0E0E0"/>
              <w:left w:val="single" w:sz="4" w:space="0" w:color="E0E0E0"/>
              <w:bottom w:val="single" w:sz="4" w:space="0" w:color="E0E0E0"/>
              <w:right w:val="single" w:sz="4" w:space="0" w:color="E0E0E0"/>
            </w:tcBorders>
            <w:shd w:val="clear" w:color="auto" w:fill="F8FAFB"/>
          </w:tcPr>
          <w:p w14:paraId="103F82CD" w14:textId="77777777" w:rsidR="005F4D38" w:rsidRPr="00145B0D" w:rsidRDefault="00000000">
            <w:pPr>
              <w:spacing w:before="40" w:after="40"/>
              <w:rPr>
                <w:color w:val="31849B" w:themeColor="accent5" w:themeShade="BF"/>
              </w:rPr>
            </w:pPr>
            <w:r w:rsidRPr="00145B0D">
              <w:rPr>
                <w:b/>
                <w:color w:val="31849B" w:themeColor="accent5" w:themeShade="BF"/>
                <w:sz w:val="18"/>
              </w:rPr>
              <w:t>2 — RAG/Chat</w:t>
            </w:r>
          </w:p>
        </w:tc>
        <w:tc>
          <w:tcPr>
            <w:tcW w:w="1881" w:type="dxa"/>
            <w:tcBorders>
              <w:top w:val="single" w:sz="4" w:space="0" w:color="E0E0E0"/>
              <w:left w:val="single" w:sz="4" w:space="0" w:color="E0E0E0"/>
              <w:bottom w:val="single" w:sz="4" w:space="0" w:color="E0E0E0"/>
              <w:right w:val="single" w:sz="4" w:space="0" w:color="E0E0E0"/>
            </w:tcBorders>
            <w:shd w:val="clear" w:color="auto" w:fill="F8FAFB"/>
          </w:tcPr>
          <w:p w14:paraId="6F899AC8" w14:textId="77777777" w:rsidR="005F4D38" w:rsidRDefault="00000000">
            <w:pPr>
              <w:spacing w:before="40" w:after="40"/>
            </w:pPr>
            <w:r>
              <w:rPr>
                <w:sz w:val="18"/>
              </w:rPr>
              <w:t>Milvus + BGE + Claude</w:t>
            </w:r>
          </w:p>
        </w:tc>
        <w:tc>
          <w:tcPr>
            <w:tcW w:w="1881" w:type="dxa"/>
            <w:tcBorders>
              <w:top w:val="single" w:sz="4" w:space="0" w:color="E0E0E0"/>
              <w:left w:val="single" w:sz="4" w:space="0" w:color="E0E0E0"/>
              <w:bottom w:val="single" w:sz="4" w:space="0" w:color="E0E0E0"/>
              <w:right w:val="single" w:sz="4" w:space="0" w:color="E0E0E0"/>
            </w:tcBorders>
            <w:shd w:val="clear" w:color="auto" w:fill="F8FAFB"/>
          </w:tcPr>
          <w:p w14:paraId="0D03E039" w14:textId="77777777" w:rsidR="005F4D38" w:rsidRDefault="00000000">
            <w:pPr>
              <w:spacing w:before="40" w:after="40"/>
            </w:pPr>
            <w:r>
              <w:rPr>
                <w:sz w:val="18"/>
              </w:rPr>
              <w:t>Interactive</w:t>
            </w:r>
          </w:p>
        </w:tc>
        <w:tc>
          <w:tcPr>
            <w:tcW w:w="1881" w:type="dxa"/>
            <w:tcBorders>
              <w:top w:val="single" w:sz="4" w:space="0" w:color="E0E0E0"/>
              <w:left w:val="single" w:sz="4" w:space="0" w:color="E0E0E0"/>
              <w:bottom w:val="single" w:sz="4" w:space="0" w:color="E0E0E0"/>
              <w:right w:val="single" w:sz="4" w:space="0" w:color="E0E0E0"/>
            </w:tcBorders>
            <w:shd w:val="clear" w:color="auto" w:fill="F8FAFB"/>
          </w:tcPr>
          <w:p w14:paraId="68BD9E08" w14:textId="77777777" w:rsidR="005F4D38" w:rsidRDefault="00000000">
            <w:pPr>
              <w:spacing w:before="40" w:after="40"/>
            </w:pPr>
            <w:r>
              <w:rPr>
                <w:sz w:val="18"/>
              </w:rPr>
              <w:t>VCF</w:t>
            </w:r>
          </w:p>
        </w:tc>
        <w:tc>
          <w:tcPr>
            <w:tcW w:w="1881" w:type="dxa"/>
            <w:tcBorders>
              <w:top w:val="single" w:sz="4" w:space="0" w:color="E0E0E0"/>
              <w:left w:val="single" w:sz="4" w:space="0" w:color="E0E0E0"/>
              <w:bottom w:val="single" w:sz="4" w:space="0" w:color="E0E0E0"/>
              <w:right w:val="single" w:sz="4" w:space="0" w:color="E0E0E0"/>
            </w:tcBorders>
            <w:shd w:val="clear" w:color="auto" w:fill="F8FAFB"/>
          </w:tcPr>
          <w:p w14:paraId="4D648301" w14:textId="77777777" w:rsidR="005F4D38" w:rsidRDefault="00000000">
            <w:pPr>
              <w:spacing w:before="40" w:after="40"/>
            </w:pPr>
            <w:r>
              <w:rPr>
                <w:sz w:val="18"/>
              </w:rPr>
              <w:t>Target gene + evidence</w:t>
            </w:r>
          </w:p>
        </w:tc>
      </w:tr>
      <w:tr w:rsidR="005F4D38" w14:paraId="4962FC42" w14:textId="77777777">
        <w:trPr>
          <w:jc w:val="center"/>
        </w:trPr>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139A6A1E" w14:textId="77777777" w:rsidR="005F4D38" w:rsidRPr="00145B0D" w:rsidRDefault="00000000">
            <w:pPr>
              <w:spacing w:before="40" w:after="40"/>
              <w:rPr>
                <w:color w:val="31849B" w:themeColor="accent5" w:themeShade="BF"/>
              </w:rPr>
            </w:pPr>
            <w:r w:rsidRPr="00145B0D">
              <w:rPr>
                <w:b/>
                <w:color w:val="31849B" w:themeColor="accent5" w:themeShade="BF"/>
                <w:sz w:val="18"/>
              </w:rPr>
              <w:t>3 — Drug Discovery</w:t>
            </w:r>
          </w:p>
        </w:tc>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25E5AD55" w14:textId="77777777" w:rsidR="005F4D38" w:rsidRDefault="00000000">
            <w:pPr>
              <w:spacing w:before="40" w:after="40"/>
            </w:pPr>
            <w:r>
              <w:rPr>
                <w:sz w:val="18"/>
              </w:rPr>
              <w:t>MolMIM + DiffDock + RDKit</w:t>
            </w:r>
          </w:p>
        </w:tc>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773764B3" w14:textId="77777777" w:rsidR="005F4D38" w:rsidRDefault="00000000">
            <w:pPr>
              <w:spacing w:before="40" w:after="40"/>
            </w:pPr>
            <w:r>
              <w:rPr>
                <w:sz w:val="18"/>
              </w:rPr>
              <w:t>8-16 min</w:t>
            </w:r>
          </w:p>
        </w:tc>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231F2A87" w14:textId="77777777" w:rsidR="005F4D38" w:rsidRDefault="00000000">
            <w:pPr>
              <w:spacing w:before="40" w:after="40"/>
            </w:pPr>
            <w:r>
              <w:rPr>
                <w:sz w:val="18"/>
              </w:rPr>
              <w:t>Target gene</w:t>
            </w:r>
          </w:p>
        </w:tc>
        <w:tc>
          <w:tcPr>
            <w:tcW w:w="1881" w:type="dxa"/>
            <w:tcBorders>
              <w:top w:val="single" w:sz="4" w:space="0" w:color="E0E0E0"/>
              <w:left w:val="single" w:sz="4" w:space="0" w:color="E0E0E0"/>
              <w:bottom w:val="single" w:sz="4" w:space="0" w:color="E0E0E0"/>
              <w:right w:val="single" w:sz="4" w:space="0" w:color="E0E0E0"/>
            </w:tcBorders>
            <w:shd w:val="clear" w:color="auto" w:fill="FFFFFF"/>
          </w:tcPr>
          <w:p w14:paraId="7DAF4E7D" w14:textId="77777777" w:rsidR="005F4D38" w:rsidRDefault="00000000">
            <w:pPr>
              <w:spacing w:before="40" w:after="40"/>
            </w:pPr>
            <w:r>
              <w:rPr>
                <w:sz w:val="18"/>
              </w:rPr>
              <w:t>100 ranked candidates</w:t>
            </w:r>
          </w:p>
        </w:tc>
      </w:tr>
    </w:tbl>
    <w:p w14:paraId="75744AB6" w14:textId="77777777" w:rsidR="005F4D38" w:rsidRDefault="005F4D38"/>
    <w:p w14:paraId="0963270D" w14:textId="77777777" w:rsidR="005F4D38" w:rsidRDefault="00000000">
      <w:pPr>
        <w:pStyle w:val="Heading2"/>
        <w:spacing w:before="320" w:after="120"/>
      </w:pPr>
      <w:r>
        <w:rPr>
          <w:rFonts w:ascii="Calibri" w:hAnsi="Calibri"/>
          <w:color w:val="1B2333"/>
          <w:sz w:val="32"/>
        </w:rPr>
        <w:t>Technology Stack</w:t>
      </w:r>
    </w:p>
    <w:tbl>
      <w:tblPr>
        <w:tblW w:w="0" w:type="auto"/>
        <w:jc w:val="center"/>
        <w:tblLook w:val="04A0" w:firstRow="1" w:lastRow="0" w:firstColumn="1" w:lastColumn="0" w:noHBand="0" w:noVBand="1"/>
      </w:tblPr>
      <w:tblGrid>
        <w:gridCol w:w="4703"/>
        <w:gridCol w:w="4703"/>
      </w:tblGrid>
      <w:tr w:rsidR="005F4D38" w14:paraId="34AE9589"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3BDDC5CF" w14:textId="77777777" w:rsidR="005F4D38" w:rsidRDefault="00000000">
            <w:pPr>
              <w:jc w:val="center"/>
            </w:pPr>
            <w:r>
              <w:rPr>
                <w:b/>
                <w:color w:val="FFFFFF"/>
                <w:sz w:val="18"/>
              </w:rPr>
              <w:t>Layer</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45FA76DB" w14:textId="77777777" w:rsidR="005F4D38" w:rsidRDefault="00000000">
            <w:pPr>
              <w:jc w:val="center"/>
            </w:pPr>
            <w:r>
              <w:rPr>
                <w:b/>
                <w:color w:val="FFFFFF"/>
                <w:sz w:val="18"/>
              </w:rPr>
              <w:t>Components</w:t>
            </w:r>
          </w:p>
        </w:tc>
      </w:tr>
      <w:tr w:rsidR="005F4D38" w14:paraId="564A5B70"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8AB8AC7" w14:textId="77777777" w:rsidR="005F4D38" w:rsidRPr="00145B0D" w:rsidRDefault="00000000">
            <w:pPr>
              <w:spacing w:before="40" w:after="40"/>
              <w:rPr>
                <w:color w:val="31849B" w:themeColor="accent5" w:themeShade="BF"/>
              </w:rPr>
            </w:pPr>
            <w:r w:rsidRPr="00145B0D">
              <w:rPr>
                <w:b/>
                <w:color w:val="31849B" w:themeColor="accent5" w:themeShade="BF"/>
                <w:sz w:val="18"/>
              </w:rPr>
              <w:t>Compute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7F7BE3F" w14:textId="77777777" w:rsidR="005F4D38" w:rsidRDefault="00000000">
            <w:pPr>
              <w:spacing w:before="40" w:after="40"/>
            </w:pPr>
            <w:r>
              <w:rPr>
                <w:sz w:val="18"/>
              </w:rPr>
              <w:t>NVIDIA DGX Spark (GB10 GPU, 128 GB unified, 144 ARM64 cores)</w:t>
            </w:r>
          </w:p>
        </w:tc>
      </w:tr>
      <w:tr w:rsidR="005F4D38" w14:paraId="2DA0EC3B"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DA2CEBF" w14:textId="77777777" w:rsidR="005F4D38" w:rsidRPr="00145B0D" w:rsidRDefault="00000000">
            <w:pPr>
              <w:spacing w:before="40" w:after="40"/>
              <w:rPr>
                <w:color w:val="31849B" w:themeColor="accent5" w:themeShade="BF"/>
              </w:rPr>
            </w:pPr>
            <w:r w:rsidRPr="00145B0D">
              <w:rPr>
                <w:b/>
                <w:color w:val="31849B" w:themeColor="accent5" w:themeShade="BF"/>
                <w:sz w:val="18"/>
              </w:rPr>
              <w:t>Genomics</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9E26747" w14:textId="77777777" w:rsidR="005F4D38" w:rsidRDefault="00000000">
            <w:pPr>
              <w:spacing w:before="40" w:after="40"/>
            </w:pPr>
            <w:r>
              <w:rPr>
                <w:sz w:val="18"/>
              </w:rPr>
              <w:t>NVIDIA Parabricks 4.6.0-1, GRCh38 reference genome</w:t>
            </w:r>
          </w:p>
        </w:tc>
      </w:tr>
      <w:tr w:rsidR="005F4D38" w14:paraId="63E5607F"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1935A52" w14:textId="77777777" w:rsidR="005F4D38" w:rsidRPr="00145B0D" w:rsidRDefault="00000000">
            <w:pPr>
              <w:spacing w:before="40" w:after="40"/>
              <w:rPr>
                <w:color w:val="31849B" w:themeColor="accent5" w:themeShade="BF"/>
              </w:rPr>
            </w:pPr>
            <w:r w:rsidRPr="00145B0D">
              <w:rPr>
                <w:b/>
                <w:color w:val="31849B" w:themeColor="accent5" w:themeShade="BF"/>
                <w:sz w:val="18"/>
              </w:rPr>
              <w:t>Annotation</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CFCA8D2" w14:textId="77777777" w:rsidR="005F4D38" w:rsidRDefault="00000000">
            <w:pPr>
              <w:spacing w:before="40" w:after="40"/>
            </w:pPr>
            <w:r>
              <w:rPr>
                <w:sz w:val="18"/>
              </w:rPr>
              <w:t>ClinVar (4.1M), AlphaMissense (71M), Ensembl VEP</w:t>
            </w:r>
          </w:p>
        </w:tc>
      </w:tr>
      <w:tr w:rsidR="005F4D38" w14:paraId="659B67A1"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1B3CAAA" w14:textId="77777777" w:rsidR="005F4D38" w:rsidRPr="00145B0D" w:rsidRDefault="00000000">
            <w:pPr>
              <w:spacing w:before="40" w:after="40"/>
              <w:rPr>
                <w:color w:val="31849B" w:themeColor="accent5" w:themeShade="BF"/>
              </w:rPr>
            </w:pPr>
            <w:r w:rsidRPr="00145B0D">
              <w:rPr>
                <w:b/>
                <w:color w:val="31849B" w:themeColor="accent5" w:themeShade="BF"/>
                <w:sz w:val="18"/>
              </w:rPr>
              <w:t>Vector DB</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972D67E" w14:textId="77777777" w:rsidR="005F4D38" w:rsidRDefault="00000000">
            <w:pPr>
              <w:spacing w:before="40" w:after="40"/>
            </w:pPr>
            <w:r>
              <w:rPr>
                <w:sz w:val="18"/>
              </w:rPr>
              <w:t>Milvus 2.4, BGE-small-en-v1.5 (384-dim), IVF_FLAT</w:t>
            </w:r>
          </w:p>
        </w:tc>
      </w:tr>
      <w:tr w:rsidR="005F4D38" w14:paraId="4A151301"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5E36CC0" w14:textId="77777777" w:rsidR="005F4D38" w:rsidRPr="00145B0D" w:rsidRDefault="00000000">
            <w:pPr>
              <w:spacing w:before="40" w:after="40"/>
              <w:rPr>
                <w:color w:val="31849B" w:themeColor="accent5" w:themeShade="BF"/>
              </w:rPr>
            </w:pPr>
            <w:r w:rsidRPr="00145B0D">
              <w:rPr>
                <w:b/>
                <w:color w:val="31849B" w:themeColor="accent5" w:themeShade="BF"/>
                <w:sz w:val="18"/>
              </w:rPr>
              <w:t>LLM</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0CFAC62" w14:textId="77777777" w:rsidR="005F4D38" w:rsidRDefault="00000000">
            <w:pPr>
              <w:spacing w:before="40" w:after="40"/>
            </w:pPr>
            <w:r>
              <w:rPr>
                <w:sz w:val="18"/>
              </w:rPr>
              <w:t>Anthropic Claude (claude-sonnet-4-20250514, temp=0.3)</w:t>
            </w:r>
          </w:p>
        </w:tc>
      </w:tr>
      <w:tr w:rsidR="005F4D38" w14:paraId="51EE538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586DA51" w14:textId="77777777" w:rsidR="005F4D38" w:rsidRPr="00145B0D" w:rsidRDefault="00000000">
            <w:pPr>
              <w:spacing w:before="40" w:after="40"/>
              <w:rPr>
                <w:color w:val="31849B" w:themeColor="accent5" w:themeShade="BF"/>
              </w:rPr>
            </w:pPr>
            <w:r w:rsidRPr="00145B0D">
              <w:rPr>
                <w:b/>
                <w:color w:val="31849B" w:themeColor="accent5" w:themeShade="BF"/>
                <w:sz w:val="18"/>
              </w:rPr>
              <w:t>Drug Discovery</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1721DCF" w14:textId="77777777" w:rsidR="005F4D38" w:rsidRDefault="00000000">
            <w:pPr>
              <w:spacing w:before="40" w:after="40"/>
            </w:pPr>
            <w:r>
              <w:rPr>
                <w:sz w:val="18"/>
              </w:rPr>
              <w:t>BioNeMo MolMIM, BioNeMo DiffDock, RDKit</w:t>
            </w:r>
          </w:p>
        </w:tc>
      </w:tr>
      <w:tr w:rsidR="005F4D38" w14:paraId="61AD3C3C"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F067CBE" w14:textId="77777777" w:rsidR="005F4D38" w:rsidRPr="00145B0D" w:rsidRDefault="00000000">
            <w:pPr>
              <w:spacing w:before="40" w:after="40"/>
              <w:rPr>
                <w:color w:val="31849B" w:themeColor="accent5" w:themeShade="BF"/>
              </w:rPr>
            </w:pPr>
            <w:r w:rsidRPr="00145B0D">
              <w:rPr>
                <w:b/>
                <w:color w:val="31849B" w:themeColor="accent5" w:themeShade="BF"/>
                <w:sz w:val="18"/>
              </w:rPr>
              <w:t>Orchestration</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76EC48AE" w14:textId="77777777" w:rsidR="005F4D38" w:rsidRDefault="00000000">
            <w:pPr>
              <w:spacing w:before="40" w:after="40"/>
            </w:pPr>
            <w:r>
              <w:rPr>
                <w:sz w:val="18"/>
              </w:rPr>
              <w:t>Nextflow DSL2, Docker Compose</w:t>
            </w:r>
          </w:p>
        </w:tc>
      </w:tr>
      <w:tr w:rsidR="005F4D38" w14:paraId="062C7AB0"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DECC1E8" w14:textId="77777777" w:rsidR="005F4D38" w:rsidRPr="00145B0D" w:rsidRDefault="00000000">
            <w:pPr>
              <w:spacing w:before="40" w:after="40"/>
              <w:rPr>
                <w:color w:val="31849B" w:themeColor="accent5" w:themeShade="BF"/>
              </w:rPr>
            </w:pPr>
            <w:r w:rsidRPr="00145B0D">
              <w:rPr>
                <w:b/>
                <w:color w:val="31849B" w:themeColor="accent5" w:themeShade="BF"/>
                <w:sz w:val="18"/>
              </w:rPr>
              <w:t>Monitoring</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ED7C1A4" w14:textId="77777777" w:rsidR="005F4D38" w:rsidRDefault="00000000">
            <w:pPr>
              <w:spacing w:before="40" w:after="40"/>
            </w:pPr>
            <w:r>
              <w:rPr>
                <w:sz w:val="18"/>
              </w:rPr>
              <w:t>Grafana, Prometheus, DCGM Exporter</w:t>
            </w:r>
          </w:p>
        </w:tc>
      </w:tr>
    </w:tbl>
    <w:p w14:paraId="736B57B3" w14:textId="77777777" w:rsidR="005F4D38" w:rsidRDefault="005F4D38"/>
    <w:p w14:paraId="78105CD8" w14:textId="77777777" w:rsidR="005F4D38" w:rsidRDefault="00000000">
      <w:pPr>
        <w:pStyle w:val="Heading2"/>
        <w:spacing w:before="320" w:after="120"/>
      </w:pPr>
      <w:r>
        <w:rPr>
          <w:rFonts w:ascii="Calibri" w:hAnsi="Calibri"/>
          <w:color w:val="1B2333"/>
          <w:sz w:val="32"/>
        </w:rPr>
        <w:t>Service Architecture</w:t>
      </w:r>
    </w:p>
    <w:p w14:paraId="26C6BD30" w14:textId="77777777" w:rsidR="005F4D38" w:rsidRDefault="00000000">
      <w:r>
        <w:t>The platform runs 14 services across 14 ports, organized by stage:</w:t>
      </w:r>
    </w:p>
    <w:p w14:paraId="31549183" w14:textId="77777777" w:rsidR="005F4D38" w:rsidRDefault="00000000">
      <w:pPr>
        <w:spacing w:before="40" w:after="40"/>
        <w:ind w:left="360"/>
      </w:pPr>
      <w:r>
        <w:rPr>
          <w:b/>
        </w:rPr>
        <w:t>Orchestration:</w:t>
      </w:r>
      <w:r>
        <w:t xml:space="preserve">  Landing page (8080) with 10-service health monitor</w:t>
      </w:r>
    </w:p>
    <w:p w14:paraId="145F157A" w14:textId="77777777" w:rsidR="005F4D38" w:rsidRDefault="00000000">
      <w:pPr>
        <w:spacing w:before="40" w:after="40"/>
        <w:ind w:left="360"/>
      </w:pPr>
      <w:r>
        <w:rPr>
          <w:b/>
        </w:rPr>
        <w:t>Stage 1:</w:t>
      </w:r>
      <w:r>
        <w:t xml:space="preserve">  Genomics portal (5000)</w:t>
      </w:r>
    </w:p>
    <w:p w14:paraId="1EC7965B" w14:textId="77777777" w:rsidR="005F4D38" w:rsidRDefault="00000000">
      <w:pPr>
        <w:spacing w:before="40" w:after="40"/>
        <w:ind w:left="360"/>
      </w:pPr>
      <w:r>
        <w:rPr>
          <w:b/>
        </w:rPr>
        <w:t>Stage 2:</w:t>
      </w:r>
      <w:r>
        <w:t xml:space="preserve">  Milvus (19530), Attu UI (8000), RAG API (5001), Chat (8501)</w:t>
      </w:r>
    </w:p>
    <w:p w14:paraId="69DFDAE7" w14:textId="77777777" w:rsidR="005F4D38" w:rsidRDefault="00000000">
      <w:pPr>
        <w:spacing w:before="40" w:after="40"/>
        <w:ind w:left="360"/>
      </w:pPr>
      <w:r>
        <w:rPr>
          <w:b/>
        </w:rPr>
        <w:t>Stage 3:</w:t>
      </w:r>
      <w:r>
        <w:t xml:space="preserve">  MolMIM NIM (8001), DiffDock NIM (8002), Discovery UI (8505), Portal (8510)</w:t>
      </w:r>
    </w:p>
    <w:p w14:paraId="4BDDB273" w14:textId="77777777" w:rsidR="005F4D38" w:rsidRDefault="00000000">
      <w:pPr>
        <w:spacing w:before="40" w:after="40"/>
        <w:ind w:left="360"/>
      </w:pPr>
      <w:r>
        <w:rPr>
          <w:b/>
        </w:rPr>
        <w:t>Monitoring:</w:t>
      </w:r>
      <w:r>
        <w:t xml:space="preserve">  Grafana (3000), Prometheus (9099), Node Exporter (9100), DCGM (9400)</w:t>
      </w:r>
    </w:p>
    <w:p w14:paraId="76D90B82" w14:textId="7899CCBD" w:rsidR="005F4D38" w:rsidRPr="005F00F7" w:rsidRDefault="00000000" w:rsidP="005F00F7">
      <w:pPr>
        <w:rPr>
          <w:b/>
          <w:bCs/>
        </w:rPr>
      </w:pPr>
      <w:r>
        <w:br w:type="page"/>
      </w:r>
      <w:r w:rsidRPr="005F00F7">
        <w:rPr>
          <w:b/>
          <w:bCs/>
          <w:color w:val="1B2333"/>
          <w:sz w:val="44"/>
        </w:rPr>
        <w:lastRenderedPageBreak/>
        <w:t>4. Stage 1 — GPU-Accelerated Genomics</w:t>
      </w:r>
    </w:p>
    <w:p w14:paraId="7F9B73E8" w14:textId="77777777" w:rsidR="005F4D38" w:rsidRDefault="00000000">
      <w:pPr>
        <w:pStyle w:val="Heading2"/>
        <w:spacing w:before="320" w:after="120"/>
      </w:pPr>
      <w:r>
        <w:rPr>
          <w:rFonts w:ascii="Calibri" w:hAnsi="Calibri"/>
          <w:color w:val="1B2333"/>
          <w:sz w:val="32"/>
        </w:rPr>
        <w:t>NVIDIA Parabricks 4.6</w:t>
      </w:r>
    </w:p>
    <w:p w14:paraId="09BA8AE3" w14:textId="77777777" w:rsidR="005F4D38" w:rsidRDefault="00000000">
      <w:r>
        <w:t>Parabricks provides GPU-accelerated implementations of standard bioinformatics tools. On DGX Spark’s GB10 GPU, it delivers 10-20× speedup over CPU implementations.</w:t>
      </w:r>
    </w:p>
    <w:p w14:paraId="546EE6D4" w14:textId="77777777" w:rsidR="005F4D38" w:rsidRPr="00145B0D" w:rsidRDefault="00000000">
      <w:pPr>
        <w:spacing w:before="200" w:after="80"/>
        <w:rPr>
          <w:color w:val="31849B" w:themeColor="accent5" w:themeShade="BF"/>
        </w:rPr>
      </w:pPr>
      <w:r w:rsidRPr="00145B0D">
        <w:rPr>
          <w:b/>
          <w:color w:val="31849B" w:themeColor="accent5" w:themeShade="BF"/>
          <w:sz w:val="26"/>
        </w:rPr>
        <w:t>BWA-MEM2 Alignment (fq2bam)</w:t>
      </w:r>
    </w:p>
    <w:p w14:paraId="3D9A2DFB" w14:textId="77777777" w:rsidR="005F4D38" w:rsidRDefault="00000000">
      <w:r>
        <w:t>Aligns paired-end reads against the GRCh38 reference genome. GPU-accelerated implementation achieves 70-90% GPU utilization, producing a sorted BAM file with index in 20-45 minutes.</w:t>
      </w:r>
    </w:p>
    <w:p w14:paraId="5EE2BD4A" w14:textId="77777777" w:rsidR="005F4D38" w:rsidRPr="00145B0D" w:rsidRDefault="00000000">
      <w:pPr>
        <w:spacing w:before="200" w:after="80"/>
        <w:rPr>
          <w:color w:val="31849B" w:themeColor="accent5" w:themeShade="BF"/>
        </w:rPr>
      </w:pPr>
      <w:r w:rsidRPr="00145B0D">
        <w:rPr>
          <w:b/>
          <w:color w:val="31849B" w:themeColor="accent5" w:themeShade="BF"/>
          <w:sz w:val="26"/>
        </w:rPr>
        <w:t>Google DeepVariant</w:t>
      </w:r>
    </w:p>
    <w:p w14:paraId="3B84A82F" w14:textId="77777777" w:rsidR="005F4D38" w:rsidRDefault="00000000">
      <w:r>
        <w:t>A CNN-based variant caller achieving &gt;99% accuracy on the GIAB truth set. GPU-accelerated implementation achieves 80-95% GPU utilization, calling variants in 10-35 minutes. The deep learning approach outperforms traditional statistical callers (GATK HaplotypeCaller) on both SNPs and indels.</w:t>
      </w:r>
    </w:p>
    <w:p w14:paraId="6B34E6EB" w14:textId="77777777" w:rsidR="005F4D38" w:rsidRDefault="00000000">
      <w:pPr>
        <w:pStyle w:val="Heading2"/>
        <w:spacing w:before="320" w:after="120"/>
      </w:pPr>
      <w:r>
        <w:rPr>
          <w:rFonts w:ascii="Calibri" w:hAnsi="Calibri"/>
          <w:color w:val="1B2333"/>
          <w:sz w:val="32"/>
        </w:rPr>
        <w:t>Input: HG002 Reference Standard</w:t>
      </w:r>
    </w:p>
    <w:tbl>
      <w:tblPr>
        <w:tblW w:w="0" w:type="auto"/>
        <w:jc w:val="center"/>
        <w:tblLook w:val="04A0" w:firstRow="1" w:lastRow="0" w:firstColumn="1" w:lastColumn="0" w:noHBand="0" w:noVBand="1"/>
      </w:tblPr>
      <w:tblGrid>
        <w:gridCol w:w="4703"/>
        <w:gridCol w:w="4703"/>
      </w:tblGrid>
      <w:tr w:rsidR="005F4D38" w14:paraId="7C575BB0"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678BA906" w14:textId="77777777" w:rsidR="005F4D38" w:rsidRDefault="00000000">
            <w:pPr>
              <w:jc w:val="center"/>
            </w:pPr>
            <w:r>
              <w:rPr>
                <w:b/>
                <w:color w:val="FFFFFF"/>
                <w:sz w:val="18"/>
              </w:rPr>
              <w:t>Parameter</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73E03B7F" w14:textId="77777777" w:rsidR="005F4D38" w:rsidRDefault="00000000">
            <w:pPr>
              <w:jc w:val="center"/>
            </w:pPr>
            <w:r>
              <w:rPr>
                <w:b/>
                <w:color w:val="FFFFFF"/>
                <w:sz w:val="18"/>
              </w:rPr>
              <w:t>Value</w:t>
            </w:r>
          </w:p>
        </w:tc>
      </w:tr>
      <w:tr w:rsidR="005F4D38" w14:paraId="2563A12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E656626" w14:textId="77777777" w:rsidR="005F4D38" w:rsidRPr="00145B0D" w:rsidRDefault="00000000">
            <w:pPr>
              <w:spacing w:before="40" w:after="40"/>
              <w:rPr>
                <w:color w:val="31849B" w:themeColor="accent5" w:themeShade="BF"/>
              </w:rPr>
            </w:pPr>
            <w:r w:rsidRPr="00145B0D">
              <w:rPr>
                <w:b/>
                <w:color w:val="31849B" w:themeColor="accent5" w:themeShade="BF"/>
                <w:sz w:val="18"/>
              </w:rPr>
              <w:t>Sample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30C9958" w14:textId="77777777" w:rsidR="005F4D38" w:rsidRDefault="00000000">
            <w:pPr>
              <w:spacing w:before="40" w:after="40"/>
            </w:pPr>
            <w:r>
              <w:rPr>
                <w:sz w:val="18"/>
              </w:rPr>
              <w:t>HG002 (NA24385, GIAB reference standard)</w:t>
            </w:r>
          </w:p>
        </w:tc>
      </w:tr>
      <w:tr w:rsidR="005F4D38" w14:paraId="640BC3ED"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A2958DC" w14:textId="77777777" w:rsidR="005F4D38" w:rsidRPr="00145B0D" w:rsidRDefault="00000000">
            <w:pPr>
              <w:spacing w:before="40" w:after="40"/>
              <w:rPr>
                <w:color w:val="31849B" w:themeColor="accent5" w:themeShade="BF"/>
              </w:rPr>
            </w:pPr>
            <w:r w:rsidRPr="00145B0D">
              <w:rPr>
                <w:b/>
                <w:color w:val="31849B" w:themeColor="accent5" w:themeShade="BF"/>
                <w:sz w:val="18"/>
              </w:rPr>
              <w:t>Coverage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F42E304" w14:textId="77777777" w:rsidR="005F4D38" w:rsidRDefault="00000000">
            <w:pPr>
              <w:spacing w:before="40" w:after="40"/>
            </w:pPr>
            <w:r>
              <w:rPr>
                <w:sz w:val="18"/>
              </w:rPr>
              <w:t>30× whole-genome sequencing (WGS)</w:t>
            </w:r>
          </w:p>
        </w:tc>
      </w:tr>
      <w:tr w:rsidR="005F4D38" w14:paraId="20A3FF40"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2685322" w14:textId="77777777" w:rsidR="005F4D38" w:rsidRPr="00145B0D" w:rsidRDefault="00000000">
            <w:pPr>
              <w:spacing w:before="40" w:after="40"/>
              <w:rPr>
                <w:color w:val="31849B" w:themeColor="accent5" w:themeShade="BF"/>
              </w:rPr>
            </w:pPr>
            <w:r w:rsidRPr="00145B0D">
              <w:rPr>
                <w:b/>
                <w:color w:val="31849B" w:themeColor="accent5" w:themeShade="BF"/>
                <w:sz w:val="18"/>
              </w:rPr>
              <w:t>Read Length</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74A18BD" w14:textId="77777777" w:rsidR="005F4D38" w:rsidRDefault="00000000">
            <w:pPr>
              <w:spacing w:before="40" w:after="40"/>
            </w:pPr>
            <w:r>
              <w:rPr>
                <w:sz w:val="18"/>
              </w:rPr>
              <w:t>2×250 bp paired-end</w:t>
            </w:r>
          </w:p>
        </w:tc>
      </w:tr>
      <w:tr w:rsidR="005F4D38" w14:paraId="72D08A7C"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E840600" w14:textId="77777777" w:rsidR="005F4D38" w:rsidRPr="00145B0D" w:rsidRDefault="00000000">
            <w:pPr>
              <w:spacing w:before="40" w:after="40"/>
              <w:rPr>
                <w:color w:val="31849B" w:themeColor="accent5" w:themeShade="BF"/>
              </w:rPr>
            </w:pPr>
            <w:r w:rsidRPr="00145B0D">
              <w:rPr>
                <w:b/>
                <w:color w:val="31849B" w:themeColor="accent5" w:themeShade="BF"/>
                <w:sz w:val="18"/>
              </w:rPr>
              <w:t>File Size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9E72057" w14:textId="77777777" w:rsidR="005F4D38" w:rsidRDefault="00000000">
            <w:pPr>
              <w:spacing w:before="40" w:after="40"/>
            </w:pPr>
            <w:r>
              <w:rPr>
                <w:sz w:val="18"/>
              </w:rPr>
              <w:t>~200 GB (FASTQ pair)</w:t>
            </w:r>
          </w:p>
        </w:tc>
      </w:tr>
      <w:tr w:rsidR="005F4D38" w14:paraId="5FEC4FE3"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55DB1EE" w14:textId="77777777" w:rsidR="005F4D38" w:rsidRPr="00145B0D" w:rsidRDefault="00000000">
            <w:pPr>
              <w:spacing w:before="40" w:after="40"/>
              <w:rPr>
                <w:color w:val="31849B" w:themeColor="accent5" w:themeShade="BF"/>
              </w:rPr>
            </w:pPr>
            <w:r w:rsidRPr="00145B0D">
              <w:rPr>
                <w:b/>
                <w:color w:val="31849B" w:themeColor="accent5" w:themeShade="BF"/>
                <w:sz w:val="18"/>
              </w:rPr>
              <w:t>Reference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67FCD1B" w14:textId="77777777" w:rsidR="005F4D38" w:rsidRDefault="00000000">
            <w:pPr>
              <w:spacing w:before="40" w:after="40"/>
            </w:pPr>
            <w:r>
              <w:rPr>
                <w:sz w:val="18"/>
              </w:rPr>
              <w:t>GRCh38 (3.1 GB, pre-indexed)</w:t>
            </w:r>
          </w:p>
        </w:tc>
      </w:tr>
    </w:tbl>
    <w:p w14:paraId="07C19175" w14:textId="77777777" w:rsidR="005F4D38" w:rsidRDefault="005F4D38"/>
    <w:p w14:paraId="27F5EEC0" w14:textId="77777777" w:rsidR="005F4D38" w:rsidRDefault="00000000">
      <w:pPr>
        <w:pStyle w:val="Heading2"/>
        <w:spacing w:before="320" w:after="120"/>
      </w:pPr>
      <w:r>
        <w:rPr>
          <w:rFonts w:ascii="Calibri" w:hAnsi="Calibri"/>
          <w:color w:val="1B2333"/>
          <w:sz w:val="32"/>
        </w:rPr>
        <w:t>Output: Variant Call Format (VCF)</w:t>
      </w:r>
    </w:p>
    <w:tbl>
      <w:tblPr>
        <w:tblW w:w="0" w:type="auto"/>
        <w:jc w:val="center"/>
        <w:tblLook w:val="04A0" w:firstRow="1" w:lastRow="0" w:firstColumn="1" w:lastColumn="0" w:noHBand="0" w:noVBand="1"/>
      </w:tblPr>
      <w:tblGrid>
        <w:gridCol w:w="4703"/>
        <w:gridCol w:w="4703"/>
      </w:tblGrid>
      <w:tr w:rsidR="005F4D38" w14:paraId="04D4001F"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20D50CE6" w14:textId="77777777" w:rsidR="005F4D38" w:rsidRDefault="00000000">
            <w:pPr>
              <w:jc w:val="center"/>
            </w:pPr>
            <w:r>
              <w:rPr>
                <w:b/>
                <w:color w:val="FFFFFF"/>
                <w:sz w:val="18"/>
              </w:rPr>
              <w:t>Metric</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285CA288" w14:textId="77777777" w:rsidR="005F4D38" w:rsidRDefault="00000000">
            <w:pPr>
              <w:jc w:val="center"/>
            </w:pPr>
            <w:r>
              <w:rPr>
                <w:b/>
                <w:color w:val="FFFFFF"/>
                <w:sz w:val="18"/>
              </w:rPr>
              <w:t>Count</w:t>
            </w:r>
          </w:p>
        </w:tc>
      </w:tr>
      <w:tr w:rsidR="005F4D38" w14:paraId="73C784A6"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4154807" w14:textId="77777777" w:rsidR="005F4D38" w:rsidRPr="00145B0D" w:rsidRDefault="00000000">
            <w:pPr>
              <w:spacing w:before="40" w:after="40"/>
              <w:rPr>
                <w:color w:val="31849B" w:themeColor="accent5" w:themeShade="BF"/>
              </w:rPr>
            </w:pPr>
            <w:r w:rsidRPr="00145B0D">
              <w:rPr>
                <w:b/>
                <w:color w:val="31849B" w:themeColor="accent5" w:themeShade="BF"/>
                <w:sz w:val="18"/>
              </w:rPr>
              <w:t>Total Variants</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F79192C" w14:textId="77777777" w:rsidR="005F4D38" w:rsidRDefault="00000000">
            <w:pPr>
              <w:spacing w:before="40" w:after="40"/>
            </w:pPr>
            <w:r>
              <w:rPr>
                <w:sz w:val="18"/>
              </w:rPr>
              <w:t>~11.7M</w:t>
            </w:r>
          </w:p>
        </w:tc>
      </w:tr>
      <w:tr w:rsidR="005F4D38" w14:paraId="1EAE7FB7"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838C213" w14:textId="77777777" w:rsidR="005F4D38" w:rsidRPr="00145B0D" w:rsidRDefault="00000000">
            <w:pPr>
              <w:spacing w:before="40" w:after="40"/>
              <w:rPr>
                <w:color w:val="31849B" w:themeColor="accent5" w:themeShade="BF"/>
              </w:rPr>
            </w:pPr>
            <w:r w:rsidRPr="00145B0D">
              <w:rPr>
                <w:b/>
                <w:color w:val="31849B" w:themeColor="accent5" w:themeShade="BF"/>
                <w:sz w:val="18"/>
              </w:rPr>
              <w:t>High-Quality (QUAL&gt;30)</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47A30CA" w14:textId="77777777" w:rsidR="005F4D38" w:rsidRDefault="00000000">
            <w:pPr>
              <w:spacing w:before="40" w:after="40"/>
            </w:pPr>
            <w:r>
              <w:rPr>
                <w:sz w:val="18"/>
              </w:rPr>
              <w:t>~3.5M</w:t>
            </w:r>
          </w:p>
        </w:tc>
      </w:tr>
      <w:tr w:rsidR="005F4D38" w14:paraId="5CC0B5BD"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7664A27" w14:textId="77777777" w:rsidR="005F4D38" w:rsidRPr="00145B0D" w:rsidRDefault="00000000">
            <w:pPr>
              <w:spacing w:before="40" w:after="40"/>
              <w:rPr>
                <w:color w:val="31849B" w:themeColor="accent5" w:themeShade="BF"/>
              </w:rPr>
            </w:pPr>
            <w:r w:rsidRPr="00145B0D">
              <w:rPr>
                <w:b/>
                <w:color w:val="31849B" w:themeColor="accent5" w:themeShade="BF"/>
                <w:sz w:val="18"/>
              </w:rPr>
              <w:t>SNPs</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A377643" w14:textId="77777777" w:rsidR="005F4D38" w:rsidRDefault="00000000">
            <w:pPr>
              <w:spacing w:before="40" w:after="40"/>
            </w:pPr>
            <w:r>
              <w:rPr>
                <w:sz w:val="18"/>
              </w:rPr>
              <w:t>~4.2M</w:t>
            </w:r>
          </w:p>
        </w:tc>
      </w:tr>
      <w:tr w:rsidR="005F4D38" w14:paraId="4E12F4D7"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80905D9" w14:textId="77777777" w:rsidR="005F4D38" w:rsidRPr="00145B0D" w:rsidRDefault="00000000">
            <w:pPr>
              <w:spacing w:before="40" w:after="40"/>
              <w:rPr>
                <w:color w:val="31849B" w:themeColor="accent5" w:themeShade="BF"/>
              </w:rPr>
            </w:pPr>
            <w:r w:rsidRPr="00145B0D">
              <w:rPr>
                <w:b/>
                <w:color w:val="31849B" w:themeColor="accent5" w:themeShade="BF"/>
                <w:sz w:val="18"/>
              </w:rPr>
              <w:t>Indels</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D324F24" w14:textId="77777777" w:rsidR="005F4D38" w:rsidRDefault="00000000">
            <w:pPr>
              <w:spacing w:before="40" w:after="40"/>
            </w:pPr>
            <w:r>
              <w:rPr>
                <w:sz w:val="18"/>
              </w:rPr>
              <w:t>~1.0M</w:t>
            </w:r>
          </w:p>
        </w:tc>
      </w:tr>
      <w:tr w:rsidR="005F4D38" w14:paraId="12DCC51A"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847B100" w14:textId="77777777" w:rsidR="005F4D38" w:rsidRPr="00145B0D" w:rsidRDefault="00000000">
            <w:pPr>
              <w:spacing w:before="40" w:after="40"/>
              <w:rPr>
                <w:color w:val="31849B" w:themeColor="accent5" w:themeShade="BF"/>
              </w:rPr>
            </w:pPr>
            <w:r w:rsidRPr="00145B0D">
              <w:rPr>
                <w:b/>
                <w:color w:val="31849B" w:themeColor="accent5" w:themeShade="BF"/>
                <w:sz w:val="18"/>
              </w:rPr>
              <w:t>Coding Region</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15E1F20" w14:textId="77777777" w:rsidR="005F4D38" w:rsidRDefault="00000000">
            <w:pPr>
              <w:spacing w:before="40" w:after="40"/>
            </w:pPr>
            <w:r>
              <w:rPr>
                <w:sz w:val="18"/>
              </w:rPr>
              <w:t>~35,000</w:t>
            </w:r>
          </w:p>
        </w:tc>
      </w:tr>
      <w:tr w:rsidR="005F4D38" w14:paraId="65351A67"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A822BF2" w14:textId="77777777" w:rsidR="005F4D38" w:rsidRPr="00145B0D" w:rsidRDefault="00000000">
            <w:pPr>
              <w:spacing w:before="40" w:after="40"/>
              <w:rPr>
                <w:color w:val="31849B" w:themeColor="accent5" w:themeShade="BF"/>
              </w:rPr>
            </w:pPr>
            <w:r w:rsidRPr="00145B0D">
              <w:rPr>
                <w:b/>
                <w:color w:val="31849B" w:themeColor="accent5" w:themeShade="BF"/>
                <w:sz w:val="18"/>
              </w:rPr>
              <w:t>Multi-allelic Sites</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EDCBC6B" w14:textId="77777777" w:rsidR="005F4D38" w:rsidRDefault="00000000">
            <w:pPr>
              <w:spacing w:before="40" w:after="40"/>
            </w:pPr>
            <w:r>
              <w:rPr>
                <w:sz w:val="18"/>
              </w:rPr>
              <w:t>~150,000</w:t>
            </w:r>
          </w:p>
        </w:tc>
      </w:tr>
    </w:tbl>
    <w:p w14:paraId="4142D0D6" w14:textId="77777777" w:rsidR="005F4D38" w:rsidRDefault="00000000">
      <w:r>
        <w:br w:type="page"/>
      </w:r>
    </w:p>
    <w:p w14:paraId="3B527F67" w14:textId="77777777" w:rsidR="005F4D38" w:rsidRDefault="00000000">
      <w:pPr>
        <w:pStyle w:val="Heading1"/>
        <w:spacing w:after="160"/>
      </w:pPr>
      <w:r>
        <w:rPr>
          <w:rFonts w:ascii="Calibri" w:hAnsi="Calibri"/>
          <w:color w:val="1B2333"/>
          <w:sz w:val="44"/>
        </w:rPr>
        <w:lastRenderedPageBreak/>
        <w:t>5. Stage 2 — RAG-Grounded Target Identification</w:t>
      </w:r>
    </w:p>
    <w:p w14:paraId="66EE6E34" w14:textId="77777777" w:rsidR="005F4D38" w:rsidRDefault="00000000">
      <w:pPr>
        <w:pStyle w:val="Heading2"/>
        <w:spacing w:before="320" w:after="120"/>
      </w:pPr>
      <w:r>
        <w:rPr>
          <w:rFonts w:ascii="Calibri" w:hAnsi="Calibri"/>
          <w:color w:val="1B2333"/>
          <w:sz w:val="32"/>
        </w:rPr>
        <w:t>Variant Annotation</w:t>
      </w:r>
    </w:p>
    <w:p w14:paraId="6406AE49" w14:textId="77777777" w:rsidR="005F4D38" w:rsidRDefault="00000000">
      <w:r>
        <w:t>Stage 2 begins by annotating the 3.5 million high-quality variants with three complementary databases:</w:t>
      </w:r>
    </w:p>
    <w:p w14:paraId="6F5907D9" w14:textId="77777777" w:rsidR="005F4D38" w:rsidRPr="00145B0D" w:rsidRDefault="00000000">
      <w:pPr>
        <w:spacing w:before="200" w:after="80"/>
        <w:rPr>
          <w:color w:val="31849B" w:themeColor="accent5" w:themeShade="BF"/>
        </w:rPr>
      </w:pPr>
      <w:r w:rsidRPr="00145B0D">
        <w:rPr>
          <w:b/>
          <w:color w:val="31849B" w:themeColor="accent5" w:themeShade="BF"/>
          <w:sz w:val="26"/>
        </w:rPr>
        <w:t>ClinVar (NCBI)</w:t>
      </w:r>
    </w:p>
    <w:p w14:paraId="458F0E29" w14:textId="77777777" w:rsidR="005F4D38" w:rsidRDefault="00000000">
      <w:r>
        <w:t>4.1 million clinical variant records mapping genomic positions to clinical significance classifications (Pathogenic, Likely pathogenic, VUS, Likely benign, Benign). Approximately 35,616 patient variants match ClinVar entries.</w:t>
      </w:r>
    </w:p>
    <w:p w14:paraId="1C1F1E54" w14:textId="77777777" w:rsidR="005F4D38" w:rsidRPr="00145B0D" w:rsidRDefault="00000000">
      <w:pPr>
        <w:spacing w:before="200" w:after="80"/>
        <w:rPr>
          <w:color w:val="31849B" w:themeColor="accent5" w:themeShade="BF"/>
        </w:rPr>
      </w:pPr>
      <w:r w:rsidRPr="00145B0D">
        <w:rPr>
          <w:b/>
          <w:color w:val="31849B" w:themeColor="accent5" w:themeShade="BF"/>
          <w:sz w:val="26"/>
        </w:rPr>
        <w:t>AlphaMissense (DeepMind)</w:t>
      </w:r>
    </w:p>
    <w:p w14:paraId="70DB316A" w14:textId="77777777" w:rsidR="005F4D38" w:rsidRDefault="00000000">
      <w:r>
        <w:t>71,697,560 AI-predicted pathogenicity scores for missense variants, derived from AlphaFold protein structure features. Thresholds: pathogenic &gt;0.564, ambiguous 0.34-0.564, benign &lt;0.34. Approximately 6,831 ClinVar-matched variants have AlphaMissense predictions.</w:t>
      </w:r>
    </w:p>
    <w:p w14:paraId="2403927D" w14:textId="77777777" w:rsidR="005F4D38" w:rsidRPr="00145B0D" w:rsidRDefault="00000000">
      <w:pPr>
        <w:spacing w:before="200" w:after="80"/>
        <w:rPr>
          <w:color w:val="31849B" w:themeColor="accent5" w:themeShade="BF"/>
        </w:rPr>
      </w:pPr>
      <w:r w:rsidRPr="00145B0D">
        <w:rPr>
          <w:b/>
          <w:color w:val="31849B" w:themeColor="accent5" w:themeShade="BF"/>
          <w:sz w:val="26"/>
        </w:rPr>
        <w:t>Ensembl VEP</w:t>
      </w:r>
    </w:p>
    <w:p w14:paraId="38179D4D" w14:textId="77777777" w:rsidR="005F4D38" w:rsidRDefault="00000000">
      <w:r>
        <w:t>Functional consequence annotation mapping variants to genes, transcripts, and impact levels (HIGH, MODERATE, LOW, MODIFIER). Identifies missense variants, stop gains, frameshift variants, and splice site disruptions.</w:t>
      </w:r>
    </w:p>
    <w:p w14:paraId="7CFA6F48" w14:textId="77777777" w:rsidR="005F4D38" w:rsidRDefault="00000000">
      <w:pPr>
        <w:pStyle w:val="Heading2"/>
        <w:spacing w:before="320" w:after="120"/>
      </w:pPr>
      <w:r>
        <w:rPr>
          <w:rFonts w:ascii="Calibri" w:hAnsi="Calibri"/>
          <w:color w:val="1B2333"/>
          <w:sz w:val="32"/>
        </w:rPr>
        <w:t>Vector Embedding and Indexing</w:t>
      </w:r>
    </w:p>
    <w:p w14:paraId="2E8C14F8" w14:textId="77777777" w:rsidR="005F4D38" w:rsidRDefault="00000000">
      <w:r>
        <w:t>Each annotated variant is transformed into a text summary and embedded using BGE-small-en-v1.5 (384 dimensions). The 3.5 million embeddings are indexed in Milvus 2.4 using IVF_FLAT (nlist=1024, COSINE metric) with 17 structured fields per record.</w:t>
      </w:r>
    </w:p>
    <w:p w14:paraId="4F0D32A7" w14:textId="77777777" w:rsidR="005F4D38" w:rsidRDefault="00000000">
      <w:pPr>
        <w:pStyle w:val="Heading2"/>
        <w:spacing w:before="320" w:after="120"/>
      </w:pPr>
      <w:r>
        <w:rPr>
          <w:rFonts w:ascii="Calibri" w:hAnsi="Calibri"/>
          <w:color w:val="1B2333"/>
          <w:sz w:val="32"/>
        </w:rPr>
        <w:t>RAG-Grounded Reasoning with Claude</w:t>
      </w:r>
    </w:p>
    <w:p w14:paraId="485D1239" w14:textId="77777777" w:rsidR="005F4D38" w:rsidRDefault="00000000">
      <w:r>
        <w:t>User queries are expanded using 10 therapeutic area keyword maps, embedded, and used for approximate nearest-neighbor search in Milvus (top_k=20). Retrieved variant contexts are assembled into a RAG prompt and processed by Anthropic Claude (claude-sonnet-4-20250514, temperature=0.3). Claude generates structured target hypotheses: gene name, confidence level, evidence chain, therapeutic area, and recommended action.</w:t>
      </w:r>
    </w:p>
    <w:p w14:paraId="35910194" w14:textId="77777777" w:rsidR="005F4D38" w:rsidRDefault="00000000">
      <w:pPr>
        <w:pStyle w:val="Heading2"/>
        <w:spacing w:before="320" w:after="120"/>
      </w:pPr>
      <w:r>
        <w:rPr>
          <w:rFonts w:ascii="Calibri" w:hAnsi="Calibri"/>
          <w:color w:val="1B2333"/>
          <w:sz w:val="32"/>
        </w:rPr>
        <w:t>Knowledge Base: 201 Genes, 13 Therapeutic Areas</w:t>
      </w:r>
    </w:p>
    <w:tbl>
      <w:tblPr>
        <w:tblW w:w="0" w:type="auto"/>
        <w:jc w:val="center"/>
        <w:tblLook w:val="04A0" w:firstRow="1" w:lastRow="0" w:firstColumn="1" w:lastColumn="0" w:noHBand="0" w:noVBand="1"/>
      </w:tblPr>
      <w:tblGrid>
        <w:gridCol w:w="3135"/>
        <w:gridCol w:w="3135"/>
        <w:gridCol w:w="3135"/>
      </w:tblGrid>
      <w:tr w:rsidR="005F4D38" w14:paraId="76B712B7" w14:textId="77777777">
        <w:trPr>
          <w:jc w:val="center"/>
        </w:trPr>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16F661AF" w14:textId="77777777" w:rsidR="005F4D38" w:rsidRDefault="00000000">
            <w:pPr>
              <w:jc w:val="center"/>
            </w:pPr>
            <w:r>
              <w:rPr>
                <w:b/>
                <w:color w:val="FFFFFF"/>
                <w:sz w:val="18"/>
              </w:rPr>
              <w:t>Therapeutic Area</w:t>
            </w:r>
          </w:p>
        </w:tc>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050E4507" w14:textId="77777777" w:rsidR="005F4D38" w:rsidRDefault="00000000">
            <w:pPr>
              <w:jc w:val="center"/>
            </w:pPr>
            <w:r>
              <w:rPr>
                <w:b/>
                <w:color w:val="FFFFFF"/>
                <w:sz w:val="18"/>
              </w:rPr>
              <w:t>Genes</w:t>
            </w:r>
          </w:p>
        </w:tc>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0F7AD7D7" w14:textId="77777777" w:rsidR="005F4D38" w:rsidRDefault="00000000">
            <w:pPr>
              <w:jc w:val="center"/>
            </w:pPr>
            <w:r>
              <w:rPr>
                <w:b/>
                <w:color w:val="FFFFFF"/>
                <w:sz w:val="18"/>
              </w:rPr>
              <w:t>Examples</w:t>
            </w:r>
          </w:p>
        </w:tc>
      </w:tr>
      <w:tr w:rsidR="005F4D38" w14:paraId="764EEB1E"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6855FED9" w14:textId="77777777" w:rsidR="005F4D38" w:rsidRPr="00145B0D" w:rsidRDefault="00000000">
            <w:pPr>
              <w:spacing w:before="40" w:after="40"/>
              <w:rPr>
                <w:color w:val="31849B" w:themeColor="accent5" w:themeShade="BF"/>
              </w:rPr>
            </w:pPr>
            <w:r w:rsidRPr="00145B0D">
              <w:rPr>
                <w:b/>
                <w:color w:val="31849B" w:themeColor="accent5" w:themeShade="BF"/>
                <w:sz w:val="18"/>
              </w:rPr>
              <w:t>Neurology</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61EBB26" w14:textId="77777777" w:rsidR="005F4D38" w:rsidRDefault="00000000">
            <w:pPr>
              <w:spacing w:before="40" w:after="40"/>
            </w:pPr>
            <w:r>
              <w:rPr>
                <w:sz w:val="18"/>
              </w:rPr>
              <w:t>36</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23FE855C" w14:textId="77777777" w:rsidR="005F4D38" w:rsidRDefault="00000000">
            <w:pPr>
              <w:spacing w:before="40" w:after="40"/>
            </w:pPr>
            <w:r>
              <w:rPr>
                <w:sz w:val="18"/>
              </w:rPr>
              <w:t>VCP, APP, PSEN1, MAPT, SOD1</w:t>
            </w:r>
          </w:p>
        </w:tc>
      </w:tr>
      <w:tr w:rsidR="005F4D38" w14:paraId="444A0B61"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C9ECFCA" w14:textId="77777777" w:rsidR="005F4D38" w:rsidRPr="00145B0D" w:rsidRDefault="00000000">
            <w:pPr>
              <w:spacing w:before="40" w:after="40"/>
              <w:rPr>
                <w:color w:val="31849B" w:themeColor="accent5" w:themeShade="BF"/>
              </w:rPr>
            </w:pPr>
            <w:r w:rsidRPr="00145B0D">
              <w:rPr>
                <w:b/>
                <w:color w:val="31849B" w:themeColor="accent5" w:themeShade="BF"/>
                <w:sz w:val="18"/>
              </w:rPr>
              <w:t>Oncology</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039655D3" w14:textId="77777777" w:rsidR="005F4D38" w:rsidRDefault="00000000">
            <w:pPr>
              <w:spacing w:before="40" w:after="40"/>
            </w:pPr>
            <w:r>
              <w:rPr>
                <w:sz w:val="18"/>
              </w:rPr>
              <w:t>27</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3967202C" w14:textId="77777777" w:rsidR="005F4D38" w:rsidRDefault="00000000">
            <w:pPr>
              <w:spacing w:before="40" w:after="40"/>
            </w:pPr>
            <w:r>
              <w:rPr>
                <w:sz w:val="18"/>
              </w:rPr>
              <w:t>EGFR, BRAF, KRAS, TP53, BRCA1</w:t>
            </w:r>
          </w:p>
        </w:tc>
      </w:tr>
      <w:tr w:rsidR="005F4D38" w14:paraId="5FD0673A"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67A36872" w14:textId="77777777" w:rsidR="005F4D38" w:rsidRPr="00145B0D" w:rsidRDefault="00000000">
            <w:pPr>
              <w:spacing w:before="40" w:after="40"/>
              <w:rPr>
                <w:color w:val="31849B" w:themeColor="accent5" w:themeShade="BF"/>
              </w:rPr>
            </w:pPr>
            <w:r w:rsidRPr="00145B0D">
              <w:rPr>
                <w:b/>
                <w:color w:val="31849B" w:themeColor="accent5" w:themeShade="BF"/>
                <w:sz w:val="18"/>
              </w:rPr>
              <w:t>Metabolic</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2EABFF3" w14:textId="77777777" w:rsidR="005F4D38" w:rsidRDefault="00000000">
            <w:pPr>
              <w:spacing w:before="40" w:after="40"/>
            </w:pPr>
            <w:r>
              <w:rPr>
                <w:sz w:val="18"/>
              </w:rPr>
              <w:t>22</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2D27B4A" w14:textId="77777777" w:rsidR="005F4D38" w:rsidRDefault="00000000">
            <w:pPr>
              <w:spacing w:before="40" w:after="40"/>
            </w:pPr>
            <w:r>
              <w:rPr>
                <w:sz w:val="18"/>
              </w:rPr>
              <w:t>GCK, PPARG, SLC2A2, PCSK9</w:t>
            </w:r>
          </w:p>
        </w:tc>
      </w:tr>
      <w:tr w:rsidR="005F4D38" w14:paraId="677204E4"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59150663" w14:textId="77777777" w:rsidR="005F4D38" w:rsidRPr="00145B0D" w:rsidRDefault="00000000">
            <w:pPr>
              <w:spacing w:before="40" w:after="40"/>
              <w:rPr>
                <w:color w:val="31849B" w:themeColor="accent5" w:themeShade="BF"/>
              </w:rPr>
            </w:pPr>
            <w:r w:rsidRPr="00145B0D">
              <w:rPr>
                <w:b/>
                <w:color w:val="31849B" w:themeColor="accent5" w:themeShade="BF"/>
                <w:sz w:val="18"/>
              </w:rPr>
              <w:t>Infectious Disease</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16A2F2DD" w14:textId="77777777" w:rsidR="005F4D38" w:rsidRDefault="00000000">
            <w:pPr>
              <w:spacing w:before="40" w:after="40"/>
            </w:pPr>
            <w:r>
              <w:rPr>
                <w:sz w:val="18"/>
              </w:rPr>
              <w:t>21</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044BB52C" w14:textId="77777777" w:rsidR="005F4D38" w:rsidRDefault="00000000">
            <w:pPr>
              <w:spacing w:before="40" w:after="40"/>
            </w:pPr>
            <w:r>
              <w:rPr>
                <w:sz w:val="18"/>
              </w:rPr>
              <w:t>ACE2, CCR5, IFITM3, TLR4</w:t>
            </w:r>
          </w:p>
        </w:tc>
      </w:tr>
      <w:tr w:rsidR="005F4D38" w14:paraId="33BEFCC4"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1C32899A" w14:textId="77777777" w:rsidR="005F4D38" w:rsidRPr="00145B0D" w:rsidRDefault="00000000">
            <w:pPr>
              <w:spacing w:before="40" w:after="40"/>
              <w:rPr>
                <w:color w:val="31849B" w:themeColor="accent5" w:themeShade="BF"/>
              </w:rPr>
            </w:pPr>
            <w:r w:rsidRPr="00145B0D">
              <w:rPr>
                <w:b/>
                <w:color w:val="31849B" w:themeColor="accent5" w:themeShade="BF"/>
                <w:sz w:val="18"/>
              </w:rPr>
              <w:t>Respiratory</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59D5AC90" w14:textId="77777777" w:rsidR="005F4D38" w:rsidRDefault="00000000">
            <w:pPr>
              <w:spacing w:before="40" w:after="40"/>
            </w:pPr>
            <w:r>
              <w:rPr>
                <w:sz w:val="18"/>
              </w:rPr>
              <w:t>13</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754A056C" w14:textId="77777777" w:rsidR="005F4D38" w:rsidRDefault="00000000">
            <w:pPr>
              <w:spacing w:before="40" w:after="40"/>
            </w:pPr>
            <w:r>
              <w:rPr>
                <w:sz w:val="18"/>
              </w:rPr>
              <w:t>CFTR, SERPINA1, MUC5B</w:t>
            </w:r>
          </w:p>
        </w:tc>
      </w:tr>
      <w:tr w:rsidR="005F4D38" w14:paraId="40402176"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0F3C0D9" w14:textId="77777777" w:rsidR="005F4D38" w:rsidRPr="00145B0D" w:rsidRDefault="00000000">
            <w:pPr>
              <w:spacing w:before="40" w:after="40"/>
              <w:rPr>
                <w:color w:val="31849B" w:themeColor="accent5" w:themeShade="BF"/>
              </w:rPr>
            </w:pPr>
            <w:r w:rsidRPr="00145B0D">
              <w:rPr>
                <w:b/>
                <w:color w:val="31849B" w:themeColor="accent5" w:themeShade="BF"/>
                <w:sz w:val="18"/>
              </w:rPr>
              <w:lastRenderedPageBreak/>
              <w:t>Rare Disease</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623A0FE9" w14:textId="77777777" w:rsidR="005F4D38" w:rsidRDefault="00000000">
            <w:pPr>
              <w:spacing w:before="40" w:after="40"/>
            </w:pPr>
            <w:r>
              <w:rPr>
                <w:sz w:val="18"/>
              </w:rPr>
              <w:t>12</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688137A2" w14:textId="77777777" w:rsidR="005F4D38" w:rsidRDefault="00000000">
            <w:pPr>
              <w:spacing w:before="40" w:after="40"/>
            </w:pPr>
            <w:r>
              <w:rPr>
                <w:sz w:val="18"/>
              </w:rPr>
              <w:t>VCP, HTT, SMN1, DMD</w:t>
            </w:r>
          </w:p>
        </w:tc>
      </w:tr>
      <w:tr w:rsidR="005F4D38" w14:paraId="44D5A85B"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77507D03" w14:textId="77777777" w:rsidR="005F4D38" w:rsidRPr="00145B0D" w:rsidRDefault="00000000">
            <w:pPr>
              <w:spacing w:before="40" w:after="40"/>
              <w:rPr>
                <w:color w:val="31849B" w:themeColor="accent5" w:themeShade="BF"/>
              </w:rPr>
            </w:pPr>
            <w:r w:rsidRPr="00145B0D">
              <w:rPr>
                <w:b/>
                <w:color w:val="31849B" w:themeColor="accent5" w:themeShade="BF"/>
                <w:sz w:val="18"/>
              </w:rPr>
              <w:t>Hematology</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65D8D16D" w14:textId="77777777" w:rsidR="005F4D38" w:rsidRDefault="00000000">
            <w:pPr>
              <w:spacing w:before="40" w:after="40"/>
            </w:pPr>
            <w:r>
              <w:rPr>
                <w:sz w:val="18"/>
              </w:rPr>
              <w:t>12</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9E72DD2" w14:textId="77777777" w:rsidR="005F4D38" w:rsidRDefault="00000000">
            <w:pPr>
              <w:spacing w:before="40" w:after="40"/>
            </w:pPr>
            <w:r>
              <w:rPr>
                <w:sz w:val="18"/>
              </w:rPr>
              <w:t>HBB, HBA1, F5, JAK2</w:t>
            </w:r>
          </w:p>
        </w:tc>
      </w:tr>
      <w:tr w:rsidR="005F4D38" w14:paraId="62002AFC"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53A88772" w14:textId="77777777" w:rsidR="005F4D38" w:rsidRPr="00145B0D" w:rsidRDefault="00000000">
            <w:pPr>
              <w:spacing w:before="40" w:after="40"/>
              <w:rPr>
                <w:color w:val="31849B" w:themeColor="accent5" w:themeShade="BF"/>
              </w:rPr>
            </w:pPr>
            <w:r w:rsidRPr="00145B0D">
              <w:rPr>
                <w:b/>
                <w:color w:val="31849B" w:themeColor="accent5" w:themeShade="BF"/>
                <w:sz w:val="18"/>
              </w:rPr>
              <w:t>GI/Hepatology</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0360F8D5" w14:textId="77777777" w:rsidR="005F4D38" w:rsidRDefault="00000000">
            <w:pPr>
              <w:spacing w:before="40" w:after="40"/>
            </w:pPr>
            <w:r>
              <w:rPr>
                <w:sz w:val="18"/>
              </w:rPr>
              <w:t>12</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3A36C3BE" w14:textId="77777777" w:rsidR="005F4D38" w:rsidRDefault="00000000">
            <w:pPr>
              <w:spacing w:before="40" w:after="40"/>
            </w:pPr>
            <w:r>
              <w:rPr>
                <w:sz w:val="18"/>
              </w:rPr>
              <w:t>HFE, ATP7B, NOD2</w:t>
            </w:r>
          </w:p>
        </w:tc>
      </w:tr>
      <w:tr w:rsidR="005F4D38" w14:paraId="78DB05A8"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3B7DF305" w14:textId="77777777" w:rsidR="005F4D38" w:rsidRPr="00145B0D" w:rsidRDefault="00000000">
            <w:pPr>
              <w:spacing w:before="40" w:after="40"/>
              <w:rPr>
                <w:color w:val="31849B" w:themeColor="accent5" w:themeShade="BF"/>
              </w:rPr>
            </w:pPr>
            <w:r w:rsidRPr="00145B0D">
              <w:rPr>
                <w:b/>
                <w:color w:val="31849B" w:themeColor="accent5" w:themeShade="BF"/>
                <w:sz w:val="18"/>
              </w:rPr>
              <w:t>Pharmacogenomics</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69E0C8C0" w14:textId="77777777" w:rsidR="005F4D38" w:rsidRDefault="00000000">
            <w:pPr>
              <w:spacing w:before="40" w:after="40"/>
            </w:pPr>
            <w:r>
              <w:rPr>
                <w:sz w:val="18"/>
              </w:rPr>
              <w:t>11</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6F8267F5" w14:textId="77777777" w:rsidR="005F4D38" w:rsidRDefault="00000000">
            <w:pPr>
              <w:spacing w:before="40" w:after="40"/>
            </w:pPr>
            <w:r>
              <w:rPr>
                <w:sz w:val="18"/>
              </w:rPr>
              <w:t>CYP2D6, CYP2C19, CYP3A4</w:t>
            </w:r>
          </w:p>
        </w:tc>
      </w:tr>
      <w:tr w:rsidR="005F4D38" w14:paraId="669D11D3"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0574EE5A" w14:textId="77777777" w:rsidR="005F4D38" w:rsidRPr="00145B0D" w:rsidRDefault="00000000">
            <w:pPr>
              <w:spacing w:before="40" w:after="40"/>
              <w:rPr>
                <w:color w:val="31849B" w:themeColor="accent5" w:themeShade="BF"/>
              </w:rPr>
            </w:pPr>
            <w:r w:rsidRPr="00145B0D">
              <w:rPr>
                <w:b/>
                <w:color w:val="31849B" w:themeColor="accent5" w:themeShade="BF"/>
                <w:sz w:val="18"/>
              </w:rPr>
              <w:t>Ophthalmology</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71E8B0F5" w14:textId="77777777" w:rsidR="005F4D38" w:rsidRDefault="00000000">
            <w:pPr>
              <w:spacing w:before="40" w:after="40"/>
            </w:pPr>
            <w:r>
              <w:rPr>
                <w:sz w:val="18"/>
              </w:rPr>
              <w:t>11</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06D9A50A" w14:textId="77777777" w:rsidR="005F4D38" w:rsidRDefault="00000000">
            <w:pPr>
              <w:spacing w:before="40" w:after="40"/>
            </w:pPr>
            <w:r>
              <w:rPr>
                <w:sz w:val="18"/>
              </w:rPr>
              <w:t>RHO, RPE65, RS1, ABCA4</w:t>
            </w:r>
          </w:p>
        </w:tc>
      </w:tr>
      <w:tr w:rsidR="005F4D38" w14:paraId="0058C787"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32C1B766" w14:textId="77777777" w:rsidR="005F4D38" w:rsidRPr="00145B0D" w:rsidRDefault="00000000">
            <w:pPr>
              <w:spacing w:before="40" w:after="40"/>
              <w:rPr>
                <w:color w:val="31849B" w:themeColor="accent5" w:themeShade="BF"/>
              </w:rPr>
            </w:pPr>
            <w:r w:rsidRPr="00145B0D">
              <w:rPr>
                <w:b/>
                <w:color w:val="31849B" w:themeColor="accent5" w:themeShade="BF"/>
                <w:sz w:val="18"/>
              </w:rPr>
              <w:t>Cardiovascular</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CA5A589" w14:textId="77777777" w:rsidR="005F4D38" w:rsidRDefault="00000000">
            <w:pPr>
              <w:spacing w:before="40" w:after="40"/>
            </w:pPr>
            <w:r>
              <w:rPr>
                <w:sz w:val="18"/>
              </w:rPr>
              <w:t>10</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9CC5EAD" w14:textId="77777777" w:rsidR="005F4D38" w:rsidRDefault="00000000">
            <w:pPr>
              <w:spacing w:before="40" w:after="40"/>
            </w:pPr>
            <w:r>
              <w:rPr>
                <w:sz w:val="18"/>
              </w:rPr>
              <w:t>LDLR, PCSK9, SCN5A</w:t>
            </w:r>
          </w:p>
        </w:tc>
      </w:tr>
      <w:tr w:rsidR="005F4D38" w14:paraId="48AEFA88"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68EB2DC1" w14:textId="77777777" w:rsidR="005F4D38" w:rsidRPr="00145B0D" w:rsidRDefault="00000000">
            <w:pPr>
              <w:spacing w:before="40" w:after="40"/>
              <w:rPr>
                <w:color w:val="31849B" w:themeColor="accent5" w:themeShade="BF"/>
              </w:rPr>
            </w:pPr>
            <w:r w:rsidRPr="00145B0D">
              <w:rPr>
                <w:b/>
                <w:color w:val="31849B" w:themeColor="accent5" w:themeShade="BF"/>
                <w:sz w:val="18"/>
              </w:rPr>
              <w:t>Immunology</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2147294C" w14:textId="77777777" w:rsidR="005F4D38" w:rsidRDefault="00000000">
            <w:pPr>
              <w:spacing w:before="40" w:after="40"/>
            </w:pPr>
            <w:r>
              <w:rPr>
                <w:sz w:val="18"/>
              </w:rPr>
              <w:t>9</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20804DA" w14:textId="77777777" w:rsidR="005F4D38" w:rsidRDefault="00000000">
            <w:pPr>
              <w:spacing w:before="40" w:after="40"/>
            </w:pPr>
            <w:r>
              <w:rPr>
                <w:sz w:val="18"/>
              </w:rPr>
              <w:t>HLA-B, TNF, IL6, JAK1</w:t>
            </w:r>
          </w:p>
        </w:tc>
      </w:tr>
      <w:tr w:rsidR="005F4D38" w14:paraId="5F93F14B"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7BCE1D5A" w14:textId="77777777" w:rsidR="005F4D38" w:rsidRPr="00145B0D" w:rsidRDefault="00000000">
            <w:pPr>
              <w:spacing w:before="40" w:after="40"/>
              <w:rPr>
                <w:color w:val="31849B" w:themeColor="accent5" w:themeShade="BF"/>
              </w:rPr>
            </w:pPr>
            <w:r w:rsidRPr="00145B0D">
              <w:rPr>
                <w:b/>
                <w:color w:val="31849B" w:themeColor="accent5" w:themeShade="BF"/>
                <w:sz w:val="18"/>
              </w:rPr>
              <w:t>Dermatology</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2D48FFC1" w14:textId="77777777" w:rsidR="005F4D38" w:rsidRDefault="00000000">
            <w:pPr>
              <w:spacing w:before="40" w:after="40"/>
            </w:pPr>
            <w:r>
              <w:rPr>
                <w:sz w:val="18"/>
              </w:rPr>
              <w:t>9</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648864E7" w14:textId="77777777" w:rsidR="005F4D38" w:rsidRDefault="00000000">
            <w:pPr>
              <w:spacing w:before="40" w:after="40"/>
            </w:pPr>
            <w:r>
              <w:rPr>
                <w:sz w:val="18"/>
              </w:rPr>
              <w:t>FLG, MC1R, TYR, KRT14</w:t>
            </w:r>
          </w:p>
        </w:tc>
      </w:tr>
    </w:tbl>
    <w:p w14:paraId="499CC25B" w14:textId="77777777" w:rsidR="005F4D38" w:rsidRDefault="005F4D38"/>
    <w:p w14:paraId="1DD8FD6B" w14:textId="77777777" w:rsidR="005F4D38" w:rsidRDefault="00000000">
      <w:r>
        <w:t>Total: 201 genes, 171 druggable targets (85% druggability).</w:t>
      </w:r>
    </w:p>
    <w:p w14:paraId="637969F3" w14:textId="77777777" w:rsidR="005F00F7" w:rsidRDefault="005F00F7" w:rsidP="005F00F7"/>
    <w:p w14:paraId="20FE31F3" w14:textId="3AF85248" w:rsidR="005F4D38" w:rsidRPr="005F00F7" w:rsidRDefault="00000000" w:rsidP="005F00F7">
      <w:pPr>
        <w:rPr>
          <w:b/>
          <w:bCs/>
        </w:rPr>
      </w:pPr>
      <w:r w:rsidRPr="005F00F7">
        <w:rPr>
          <w:b/>
          <w:bCs/>
          <w:color w:val="1B2333"/>
          <w:sz w:val="44"/>
        </w:rPr>
        <w:t>6. Stage 3 — AI-Driven Drug Discovery</w:t>
      </w:r>
    </w:p>
    <w:p w14:paraId="52CEFFBB" w14:textId="77777777" w:rsidR="005F4D38" w:rsidRDefault="00000000">
      <w:pPr>
        <w:pStyle w:val="Heading2"/>
        <w:spacing w:before="320" w:after="120"/>
      </w:pPr>
      <w:r>
        <w:rPr>
          <w:rFonts w:ascii="Calibri" w:hAnsi="Calibri"/>
          <w:color w:val="1B2333"/>
          <w:sz w:val="32"/>
        </w:rPr>
        <w:t>10-Stage Drug Discovery Pipeline</w:t>
      </w:r>
    </w:p>
    <w:tbl>
      <w:tblPr>
        <w:tblW w:w="0" w:type="auto"/>
        <w:jc w:val="center"/>
        <w:tblLook w:val="04A0" w:firstRow="1" w:lastRow="0" w:firstColumn="1" w:lastColumn="0" w:noHBand="0" w:noVBand="1"/>
      </w:tblPr>
      <w:tblGrid>
        <w:gridCol w:w="3135"/>
        <w:gridCol w:w="3135"/>
        <w:gridCol w:w="3135"/>
      </w:tblGrid>
      <w:tr w:rsidR="005F4D38" w14:paraId="0C412C96" w14:textId="77777777">
        <w:trPr>
          <w:jc w:val="center"/>
        </w:trPr>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6A359B92" w14:textId="77777777" w:rsidR="005F4D38" w:rsidRDefault="00000000">
            <w:pPr>
              <w:jc w:val="center"/>
            </w:pPr>
            <w:r>
              <w:rPr>
                <w:b/>
                <w:color w:val="FFFFFF"/>
                <w:sz w:val="18"/>
              </w:rPr>
              <w:t>Stage</w:t>
            </w:r>
          </w:p>
        </w:tc>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259E2CCC" w14:textId="77777777" w:rsidR="005F4D38" w:rsidRDefault="00000000">
            <w:pPr>
              <w:jc w:val="center"/>
            </w:pPr>
            <w:r>
              <w:rPr>
                <w:b/>
                <w:color w:val="FFFFFF"/>
                <w:sz w:val="18"/>
              </w:rPr>
              <w:t>Process</w:t>
            </w:r>
          </w:p>
        </w:tc>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40295225" w14:textId="77777777" w:rsidR="005F4D38" w:rsidRDefault="00000000">
            <w:pPr>
              <w:jc w:val="center"/>
            </w:pPr>
            <w:r>
              <w:rPr>
                <w:b/>
                <w:color w:val="FFFFFF"/>
                <w:sz w:val="18"/>
              </w:rPr>
              <w:t>Description</w:t>
            </w:r>
          </w:p>
        </w:tc>
      </w:tr>
      <w:tr w:rsidR="005F4D38" w14:paraId="39F39732"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3B58337C" w14:textId="77777777" w:rsidR="005F4D38" w:rsidRPr="00145B0D" w:rsidRDefault="00000000">
            <w:pPr>
              <w:spacing w:before="40" w:after="40"/>
              <w:rPr>
                <w:color w:val="31849B" w:themeColor="accent5" w:themeShade="BF"/>
              </w:rPr>
            </w:pPr>
            <w:r w:rsidRPr="00145B0D">
              <w:rPr>
                <w:b/>
                <w:color w:val="31849B" w:themeColor="accent5" w:themeShade="BF"/>
                <w:sz w:val="18"/>
              </w:rPr>
              <w:t>1</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1BBF057" w14:textId="77777777" w:rsidR="005F4D38" w:rsidRDefault="00000000">
            <w:pPr>
              <w:spacing w:before="40" w:after="40"/>
            </w:pPr>
            <w:r>
              <w:rPr>
                <w:sz w:val="18"/>
              </w:rPr>
              <w:t>Initialize</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620020B4" w14:textId="77777777" w:rsidR="005F4D38" w:rsidRDefault="00000000">
            <w:pPr>
              <w:spacing w:before="40" w:after="40"/>
            </w:pPr>
            <w:r>
              <w:rPr>
                <w:sz w:val="18"/>
              </w:rPr>
              <w:t>Load target hypothesis, validate inputs</w:t>
            </w:r>
          </w:p>
        </w:tc>
      </w:tr>
      <w:tr w:rsidR="005F4D38" w14:paraId="5DE5EFFB"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50FC3207" w14:textId="77777777" w:rsidR="005F4D38" w:rsidRPr="00145B0D" w:rsidRDefault="00000000">
            <w:pPr>
              <w:spacing w:before="40" w:after="40"/>
              <w:rPr>
                <w:color w:val="31849B" w:themeColor="accent5" w:themeShade="BF"/>
              </w:rPr>
            </w:pPr>
            <w:r w:rsidRPr="00145B0D">
              <w:rPr>
                <w:b/>
                <w:color w:val="31849B" w:themeColor="accent5" w:themeShade="BF"/>
                <w:sz w:val="18"/>
              </w:rPr>
              <w:t>2</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761820B7" w14:textId="77777777" w:rsidR="005F4D38" w:rsidRDefault="00000000">
            <w:pPr>
              <w:spacing w:before="40" w:after="40"/>
            </w:pPr>
            <w:r>
              <w:rPr>
                <w:sz w:val="18"/>
              </w:rPr>
              <w:t>Normalize Target</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16ABF515" w14:textId="77777777" w:rsidR="005F4D38" w:rsidRDefault="00000000">
            <w:pPr>
              <w:spacing w:before="40" w:after="40"/>
            </w:pPr>
            <w:r>
              <w:rPr>
                <w:sz w:val="18"/>
              </w:rPr>
              <w:t>Map gene → UniProt ID → PDB structures</w:t>
            </w:r>
          </w:p>
        </w:tc>
      </w:tr>
      <w:tr w:rsidR="005F4D38" w14:paraId="2C11E37D"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593469B7" w14:textId="77777777" w:rsidR="005F4D38" w:rsidRPr="00145B0D" w:rsidRDefault="00000000">
            <w:pPr>
              <w:spacing w:before="40" w:after="40"/>
              <w:rPr>
                <w:color w:val="31849B" w:themeColor="accent5" w:themeShade="BF"/>
              </w:rPr>
            </w:pPr>
            <w:r w:rsidRPr="00145B0D">
              <w:rPr>
                <w:b/>
                <w:color w:val="31849B" w:themeColor="accent5" w:themeShade="BF"/>
                <w:sz w:val="18"/>
              </w:rPr>
              <w:t>3</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AC88325" w14:textId="77777777" w:rsidR="005F4D38" w:rsidRDefault="00000000">
            <w:pPr>
              <w:spacing w:before="40" w:after="40"/>
            </w:pPr>
            <w:r>
              <w:rPr>
                <w:sz w:val="18"/>
              </w:rPr>
              <w:t>Structure Discovery</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95C1157" w14:textId="77777777" w:rsidR="005F4D38" w:rsidRDefault="00000000">
            <w:pPr>
              <w:spacing w:before="40" w:after="40"/>
            </w:pPr>
            <w:r>
              <w:rPr>
                <w:sz w:val="18"/>
              </w:rPr>
              <w:t>Query RCSB PDB for structures</w:t>
            </w:r>
          </w:p>
        </w:tc>
      </w:tr>
      <w:tr w:rsidR="005F4D38" w14:paraId="4DF8D45F"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55104AE" w14:textId="77777777" w:rsidR="005F4D38" w:rsidRPr="00145B0D" w:rsidRDefault="00000000">
            <w:pPr>
              <w:spacing w:before="40" w:after="40"/>
              <w:rPr>
                <w:color w:val="31849B" w:themeColor="accent5" w:themeShade="BF"/>
              </w:rPr>
            </w:pPr>
            <w:r w:rsidRPr="00145B0D">
              <w:rPr>
                <w:b/>
                <w:color w:val="31849B" w:themeColor="accent5" w:themeShade="BF"/>
                <w:sz w:val="18"/>
              </w:rPr>
              <w:t>4</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502D71FC" w14:textId="77777777" w:rsidR="005F4D38" w:rsidRDefault="00000000">
            <w:pPr>
              <w:spacing w:before="40" w:after="40"/>
            </w:pPr>
            <w:r>
              <w:rPr>
                <w:sz w:val="18"/>
              </w:rPr>
              <w:t>Structure Prep</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7A7AA42A" w14:textId="77777777" w:rsidR="005F4D38" w:rsidRDefault="00000000">
            <w:pPr>
              <w:spacing w:before="40" w:after="40"/>
            </w:pPr>
            <w:r>
              <w:rPr>
                <w:sz w:val="18"/>
              </w:rPr>
              <w:t>Score by resolution, inhibitor, pockets</w:t>
            </w:r>
          </w:p>
        </w:tc>
      </w:tr>
      <w:tr w:rsidR="005F4D38" w14:paraId="527B05A0"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5DF816C1" w14:textId="77777777" w:rsidR="005F4D38" w:rsidRPr="00145B0D" w:rsidRDefault="00000000">
            <w:pPr>
              <w:spacing w:before="40" w:after="40"/>
              <w:rPr>
                <w:color w:val="31849B" w:themeColor="accent5" w:themeShade="BF"/>
              </w:rPr>
            </w:pPr>
            <w:r w:rsidRPr="00145B0D">
              <w:rPr>
                <w:b/>
                <w:color w:val="31849B" w:themeColor="accent5" w:themeShade="BF"/>
                <w:sz w:val="18"/>
              </w:rPr>
              <w:t>5</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118DC694" w14:textId="77777777" w:rsidR="005F4D38" w:rsidRDefault="00000000">
            <w:pPr>
              <w:spacing w:before="40" w:after="40"/>
            </w:pPr>
            <w:r>
              <w:rPr>
                <w:sz w:val="18"/>
              </w:rPr>
              <w:t>Molecule Generation</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707D4CA" w14:textId="77777777" w:rsidR="005F4D38" w:rsidRDefault="00000000">
            <w:pPr>
              <w:spacing w:before="40" w:after="40"/>
            </w:pPr>
            <w:r>
              <w:rPr>
                <w:sz w:val="18"/>
              </w:rPr>
              <w:t>MolMIM generates novel SMILES from seed</w:t>
            </w:r>
          </w:p>
        </w:tc>
      </w:tr>
      <w:tr w:rsidR="005F4D38" w14:paraId="237BB07B"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5493A676" w14:textId="77777777" w:rsidR="005F4D38" w:rsidRPr="00145B0D" w:rsidRDefault="00000000">
            <w:pPr>
              <w:spacing w:before="40" w:after="40"/>
              <w:rPr>
                <w:color w:val="31849B" w:themeColor="accent5" w:themeShade="BF"/>
              </w:rPr>
            </w:pPr>
            <w:r w:rsidRPr="00145B0D">
              <w:rPr>
                <w:b/>
                <w:color w:val="31849B" w:themeColor="accent5" w:themeShade="BF"/>
                <w:sz w:val="18"/>
              </w:rPr>
              <w:t>6</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3F65E6D1" w14:textId="77777777" w:rsidR="005F4D38" w:rsidRDefault="00000000">
            <w:pPr>
              <w:spacing w:before="40" w:after="40"/>
            </w:pPr>
            <w:r>
              <w:rPr>
                <w:sz w:val="18"/>
              </w:rPr>
              <w:t>Chemistry QC</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354B39F" w14:textId="77777777" w:rsidR="005F4D38" w:rsidRDefault="00000000">
            <w:pPr>
              <w:spacing w:before="40" w:after="40"/>
            </w:pPr>
            <w:r>
              <w:rPr>
                <w:sz w:val="18"/>
              </w:rPr>
              <w:t>RDKit validates chemical feasibility</w:t>
            </w:r>
          </w:p>
        </w:tc>
      </w:tr>
      <w:tr w:rsidR="005F4D38" w14:paraId="41AE7121"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5B2E30BB" w14:textId="77777777" w:rsidR="005F4D38" w:rsidRPr="00145B0D" w:rsidRDefault="00000000">
            <w:pPr>
              <w:spacing w:before="40" w:after="40"/>
              <w:rPr>
                <w:color w:val="31849B" w:themeColor="accent5" w:themeShade="BF"/>
              </w:rPr>
            </w:pPr>
            <w:r w:rsidRPr="00145B0D">
              <w:rPr>
                <w:b/>
                <w:color w:val="31849B" w:themeColor="accent5" w:themeShade="BF"/>
                <w:sz w:val="18"/>
              </w:rPr>
              <w:t>7</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16104BCE" w14:textId="77777777" w:rsidR="005F4D38" w:rsidRDefault="00000000">
            <w:pPr>
              <w:spacing w:before="40" w:after="40"/>
            </w:pPr>
            <w:r>
              <w:rPr>
                <w:sz w:val="18"/>
              </w:rPr>
              <w:t>Conformers</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A38D776" w14:textId="77777777" w:rsidR="005F4D38" w:rsidRDefault="00000000">
            <w:pPr>
              <w:spacing w:before="40" w:after="40"/>
            </w:pPr>
            <w:r>
              <w:rPr>
                <w:sz w:val="18"/>
              </w:rPr>
              <w:t>RDKit 3D conformer embedding (ETKDG)</w:t>
            </w:r>
          </w:p>
        </w:tc>
      </w:tr>
      <w:tr w:rsidR="005F4D38" w14:paraId="52CDEA65"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5C36DFB8" w14:textId="77777777" w:rsidR="005F4D38" w:rsidRPr="00145B0D" w:rsidRDefault="00000000">
            <w:pPr>
              <w:spacing w:before="40" w:after="40"/>
              <w:rPr>
                <w:color w:val="31849B" w:themeColor="accent5" w:themeShade="BF"/>
              </w:rPr>
            </w:pPr>
            <w:r w:rsidRPr="00145B0D">
              <w:rPr>
                <w:b/>
                <w:color w:val="31849B" w:themeColor="accent5" w:themeShade="BF"/>
                <w:sz w:val="18"/>
              </w:rPr>
              <w:t>8</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03182CA" w14:textId="77777777" w:rsidR="005F4D38" w:rsidRDefault="00000000">
            <w:pPr>
              <w:spacing w:before="40" w:after="40"/>
            </w:pPr>
            <w:r>
              <w:rPr>
                <w:sz w:val="18"/>
              </w:rPr>
              <w:t>Docking</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6735D45" w14:textId="77777777" w:rsidR="005F4D38" w:rsidRDefault="00000000">
            <w:pPr>
              <w:spacing w:before="40" w:after="40"/>
            </w:pPr>
            <w:r>
              <w:rPr>
                <w:sz w:val="18"/>
              </w:rPr>
              <w:t>DiffDock predicts binding poses and affinities</w:t>
            </w:r>
          </w:p>
        </w:tc>
      </w:tr>
      <w:tr w:rsidR="005F4D38" w14:paraId="2EFB87B9"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0A605B9" w14:textId="77777777" w:rsidR="005F4D38" w:rsidRPr="00145B0D" w:rsidRDefault="00000000">
            <w:pPr>
              <w:spacing w:before="40" w:after="40"/>
              <w:rPr>
                <w:color w:val="31849B" w:themeColor="accent5" w:themeShade="BF"/>
              </w:rPr>
            </w:pPr>
            <w:r w:rsidRPr="00145B0D">
              <w:rPr>
                <w:b/>
                <w:color w:val="31849B" w:themeColor="accent5" w:themeShade="BF"/>
                <w:sz w:val="18"/>
              </w:rPr>
              <w:t>9</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3C366CAA" w14:textId="77777777" w:rsidR="005F4D38" w:rsidRDefault="00000000">
            <w:pPr>
              <w:spacing w:before="40" w:after="40"/>
            </w:pPr>
            <w:r>
              <w:rPr>
                <w:sz w:val="18"/>
              </w:rPr>
              <w:t>Ranking</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EF38329" w14:textId="77777777" w:rsidR="005F4D38" w:rsidRDefault="00000000">
            <w:pPr>
              <w:spacing w:before="40" w:after="40"/>
            </w:pPr>
            <w:r>
              <w:rPr>
                <w:sz w:val="18"/>
              </w:rPr>
              <w:t>30% gen + 40% dock + 30% QED composite</w:t>
            </w:r>
          </w:p>
        </w:tc>
      </w:tr>
      <w:tr w:rsidR="005F4D38" w14:paraId="12FAF630"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02929728" w14:textId="77777777" w:rsidR="005F4D38" w:rsidRPr="00145B0D" w:rsidRDefault="00000000">
            <w:pPr>
              <w:spacing w:before="40" w:after="40"/>
              <w:rPr>
                <w:color w:val="31849B" w:themeColor="accent5" w:themeShade="BF"/>
              </w:rPr>
            </w:pPr>
            <w:r w:rsidRPr="00145B0D">
              <w:rPr>
                <w:b/>
                <w:color w:val="31849B" w:themeColor="accent5" w:themeShade="BF"/>
                <w:sz w:val="18"/>
              </w:rPr>
              <w:t>10</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CBD8FEE" w14:textId="77777777" w:rsidR="005F4D38" w:rsidRDefault="00000000">
            <w:pPr>
              <w:spacing w:before="40" w:after="40"/>
            </w:pPr>
            <w:r>
              <w:rPr>
                <w:sz w:val="18"/>
              </w:rPr>
              <w:t>Reporting</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1F47725C" w14:textId="77777777" w:rsidR="005F4D38" w:rsidRDefault="00000000">
            <w:pPr>
              <w:spacing w:before="40" w:after="40"/>
            </w:pPr>
            <w:r>
              <w:rPr>
                <w:sz w:val="18"/>
              </w:rPr>
              <w:t>PDF report via ReportLab</w:t>
            </w:r>
          </w:p>
        </w:tc>
      </w:tr>
    </w:tbl>
    <w:p w14:paraId="40C33CD8" w14:textId="77777777" w:rsidR="005F4D38" w:rsidRDefault="005F4D38"/>
    <w:p w14:paraId="1D020728" w14:textId="77777777" w:rsidR="005F4D38" w:rsidRDefault="00000000">
      <w:pPr>
        <w:pStyle w:val="Heading2"/>
        <w:spacing w:before="320" w:after="120"/>
      </w:pPr>
      <w:r>
        <w:rPr>
          <w:rFonts w:ascii="Calibri" w:hAnsi="Calibri"/>
          <w:color w:val="1B2333"/>
          <w:sz w:val="32"/>
        </w:rPr>
        <w:t>BioNeMo NIM Services</w:t>
      </w:r>
    </w:p>
    <w:p w14:paraId="71D95774" w14:textId="77777777" w:rsidR="005F4D38" w:rsidRPr="00145B0D" w:rsidRDefault="00000000">
      <w:pPr>
        <w:spacing w:before="200" w:after="80"/>
        <w:rPr>
          <w:color w:val="31849B" w:themeColor="accent5" w:themeShade="BF"/>
        </w:rPr>
      </w:pPr>
      <w:r w:rsidRPr="00145B0D">
        <w:rPr>
          <w:b/>
          <w:color w:val="31849B" w:themeColor="accent5" w:themeShade="BF"/>
          <w:sz w:val="26"/>
        </w:rPr>
        <w:t>MolMIM (Port 8001)</w:t>
      </w:r>
    </w:p>
    <w:p w14:paraId="39FCF9BF" w14:textId="77777777" w:rsidR="005F4D38" w:rsidRDefault="00000000">
      <w:r>
        <w:t>A masked language model for molecular generation. Given a seed compound’s SMILES string, it generates structurally novel analogs by masking and regenerating molecular tokens. Container: nvcr.io/nvidia/clara/bionemo-molmim:1.0</w:t>
      </w:r>
    </w:p>
    <w:p w14:paraId="3905F0ED" w14:textId="77777777" w:rsidR="005F4D38" w:rsidRPr="00145B0D" w:rsidRDefault="00000000">
      <w:pPr>
        <w:spacing w:before="200" w:after="80"/>
        <w:rPr>
          <w:color w:val="31849B" w:themeColor="accent5" w:themeShade="BF"/>
        </w:rPr>
      </w:pPr>
      <w:r w:rsidRPr="00145B0D">
        <w:rPr>
          <w:b/>
          <w:color w:val="31849B" w:themeColor="accent5" w:themeShade="BF"/>
          <w:sz w:val="26"/>
        </w:rPr>
        <w:lastRenderedPageBreak/>
        <w:t>DiffDock (Port 8002)</w:t>
      </w:r>
    </w:p>
    <w:p w14:paraId="33F87416" w14:textId="77777777" w:rsidR="005F4D38" w:rsidRDefault="00000000">
      <w:r>
        <w:t>A score-based generative diffusion model for molecular docking. It predicts the 3D binding pose and affinity of a ligand in a protein binding site without requiring pre-defined binding pockets. Container: nvcr.io/nvidia/clara/diffdock:1.0</w:t>
      </w:r>
    </w:p>
    <w:p w14:paraId="5D8A4E7A" w14:textId="77777777" w:rsidR="005F4D38" w:rsidRDefault="00000000">
      <w:pPr>
        <w:pStyle w:val="Heading2"/>
        <w:spacing w:before="320" w:after="120"/>
      </w:pPr>
      <w:r>
        <w:rPr>
          <w:rFonts w:ascii="Calibri" w:hAnsi="Calibri"/>
          <w:color w:val="1B2333"/>
          <w:sz w:val="32"/>
        </w:rPr>
        <w:t>Drug-Likeness Scoring</w:t>
      </w:r>
    </w:p>
    <w:p w14:paraId="1DF17A09" w14:textId="77777777" w:rsidR="005F4D38" w:rsidRDefault="00000000">
      <w:r>
        <w:t>Each candidate is evaluated against Lipinski’s Rule of Five (MW≤500, LogP≤5, HBD≤5, HBA≤10), QED (&gt;0.67 = drug-like), and TPSA (&lt;140 Å² for oral bioavailability).</w:t>
      </w:r>
    </w:p>
    <w:p w14:paraId="53E36B55" w14:textId="77777777" w:rsidR="005F4D38" w:rsidRDefault="00000000">
      <w:pPr>
        <w:pStyle w:val="Heading2"/>
        <w:spacing w:before="320" w:after="120"/>
      </w:pPr>
      <w:r>
        <w:rPr>
          <w:rFonts w:ascii="Calibri" w:hAnsi="Calibri"/>
          <w:color w:val="1B2333"/>
          <w:sz w:val="32"/>
        </w:rPr>
        <w:t>Composite Scoring Formula</w:t>
      </w:r>
    </w:p>
    <w:p w14:paraId="56998155" w14:textId="77777777" w:rsidR="005F4D38" w:rsidRDefault="00000000">
      <w:r>
        <w:t>The final ranking uses a weighted composite: 30% MolMIM generation confidence, 40% DiffDock binding affinity (normalized: max(0, min(1, (10 + dock_score) / 20))), and 30% QED score. This balances novelty, binding prediction, and drug-likeness.</w:t>
      </w:r>
    </w:p>
    <w:p w14:paraId="6834293B" w14:textId="77777777" w:rsidR="005F00F7" w:rsidRDefault="005F00F7" w:rsidP="005F00F7"/>
    <w:p w14:paraId="5124EF65" w14:textId="556D9684" w:rsidR="005F4D38" w:rsidRPr="005F00F7" w:rsidRDefault="00000000" w:rsidP="005F00F7">
      <w:pPr>
        <w:rPr>
          <w:b/>
          <w:bCs/>
        </w:rPr>
      </w:pPr>
      <w:r w:rsidRPr="005F00F7">
        <w:rPr>
          <w:b/>
          <w:bCs/>
          <w:color w:val="1B2333"/>
          <w:sz w:val="44"/>
        </w:rPr>
        <w:t>7. VCP/FTD Demonstration</w:t>
      </w:r>
    </w:p>
    <w:p w14:paraId="1100D7A0" w14:textId="77777777" w:rsidR="005F4D38" w:rsidRDefault="00000000">
      <w:pPr>
        <w:pStyle w:val="Heading2"/>
        <w:spacing w:before="320" w:after="120"/>
      </w:pPr>
      <w:r>
        <w:rPr>
          <w:rFonts w:ascii="Calibri" w:hAnsi="Calibri"/>
          <w:color w:val="1B2333"/>
          <w:sz w:val="32"/>
        </w:rPr>
        <w:t>Target: Valosin-Containing Protein (VCP/p97)</w:t>
      </w:r>
    </w:p>
    <w:p w14:paraId="685CD81C" w14:textId="77777777" w:rsidR="005F4D38" w:rsidRDefault="00000000">
      <w:r>
        <w:t>The platform ships with a pre-configured demonstration targeting VCP — a AAA+ ATPase involved in the ubiquitin-proteasome pathway. Pathogenic VCP mutations cause Frontotemporal Dementia (FTD), ALS, and IBMPFD.</w:t>
      </w:r>
    </w:p>
    <w:tbl>
      <w:tblPr>
        <w:tblW w:w="0" w:type="auto"/>
        <w:jc w:val="center"/>
        <w:tblLook w:val="04A0" w:firstRow="1" w:lastRow="0" w:firstColumn="1" w:lastColumn="0" w:noHBand="0" w:noVBand="1"/>
      </w:tblPr>
      <w:tblGrid>
        <w:gridCol w:w="4703"/>
        <w:gridCol w:w="4703"/>
      </w:tblGrid>
      <w:tr w:rsidR="005F4D38" w14:paraId="16585095"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4CDB92D9" w14:textId="77777777" w:rsidR="005F4D38" w:rsidRDefault="00000000">
            <w:pPr>
              <w:jc w:val="center"/>
            </w:pPr>
            <w:r>
              <w:rPr>
                <w:b/>
                <w:color w:val="FFFFFF"/>
                <w:sz w:val="18"/>
              </w:rPr>
              <w:t>Parameter</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1E9D5F28" w14:textId="77777777" w:rsidR="005F4D38" w:rsidRDefault="00000000">
            <w:pPr>
              <w:jc w:val="center"/>
            </w:pPr>
            <w:r>
              <w:rPr>
                <w:b/>
                <w:color w:val="FFFFFF"/>
                <w:sz w:val="18"/>
              </w:rPr>
              <w:t>Value</w:t>
            </w:r>
          </w:p>
        </w:tc>
      </w:tr>
      <w:tr w:rsidR="005F4D38" w14:paraId="35A91F4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5182FCE" w14:textId="77777777" w:rsidR="005F4D38" w:rsidRPr="00145B0D" w:rsidRDefault="00000000">
            <w:pPr>
              <w:spacing w:before="40" w:after="40"/>
              <w:rPr>
                <w:color w:val="31849B" w:themeColor="accent5" w:themeShade="BF"/>
              </w:rPr>
            </w:pPr>
            <w:r w:rsidRPr="00145B0D">
              <w:rPr>
                <w:b/>
                <w:color w:val="31849B" w:themeColor="accent5" w:themeShade="BF"/>
                <w:sz w:val="18"/>
              </w:rPr>
              <w:t>Gene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BEEDD36" w14:textId="77777777" w:rsidR="005F4D38" w:rsidRDefault="00000000">
            <w:pPr>
              <w:spacing w:before="40" w:after="40"/>
            </w:pPr>
            <w:r>
              <w:rPr>
                <w:sz w:val="18"/>
              </w:rPr>
              <w:t>VCP (UniProt P55072)</w:t>
            </w:r>
          </w:p>
        </w:tc>
      </w:tr>
      <w:tr w:rsidR="005F4D38" w14:paraId="15600E49"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420FB1F" w14:textId="77777777" w:rsidR="005F4D38" w:rsidRPr="00145B0D" w:rsidRDefault="00000000">
            <w:pPr>
              <w:spacing w:before="40" w:after="40"/>
              <w:rPr>
                <w:color w:val="31849B" w:themeColor="accent5" w:themeShade="BF"/>
              </w:rPr>
            </w:pPr>
            <w:r w:rsidRPr="00145B0D">
              <w:rPr>
                <w:b/>
                <w:color w:val="31849B" w:themeColor="accent5" w:themeShade="BF"/>
                <w:sz w:val="18"/>
              </w:rPr>
              <w:t>Variant</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04EAD6C" w14:textId="77777777" w:rsidR="005F4D38" w:rsidRDefault="00000000">
            <w:pPr>
              <w:spacing w:before="40" w:after="40"/>
            </w:pPr>
            <w:r>
              <w:rPr>
                <w:sz w:val="18"/>
              </w:rPr>
              <w:t>rs188935092 (chr9:35065263 G&gt;A)</w:t>
            </w:r>
          </w:p>
        </w:tc>
      </w:tr>
      <w:tr w:rsidR="005F4D38" w14:paraId="6B7BBF7E"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110B859" w14:textId="77777777" w:rsidR="005F4D38" w:rsidRPr="00145B0D" w:rsidRDefault="00000000">
            <w:pPr>
              <w:spacing w:before="40" w:after="40"/>
              <w:rPr>
                <w:color w:val="31849B" w:themeColor="accent5" w:themeShade="BF"/>
              </w:rPr>
            </w:pPr>
            <w:r w:rsidRPr="00145B0D">
              <w:rPr>
                <w:b/>
                <w:color w:val="31849B" w:themeColor="accent5" w:themeShade="BF"/>
                <w:sz w:val="18"/>
              </w:rPr>
              <w:t>ClinVar</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97D0028" w14:textId="77777777" w:rsidR="005F4D38" w:rsidRDefault="00000000">
            <w:pPr>
              <w:spacing w:before="40" w:after="40"/>
            </w:pPr>
            <w:r>
              <w:rPr>
                <w:sz w:val="18"/>
              </w:rPr>
              <w:t>Pathogenic</w:t>
            </w:r>
          </w:p>
        </w:tc>
      </w:tr>
      <w:tr w:rsidR="005F4D38" w14:paraId="33FD69E1"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56E3120" w14:textId="77777777" w:rsidR="005F4D38" w:rsidRPr="00145B0D" w:rsidRDefault="00000000">
            <w:pPr>
              <w:spacing w:before="40" w:after="40"/>
              <w:rPr>
                <w:color w:val="31849B" w:themeColor="accent5" w:themeShade="BF"/>
              </w:rPr>
            </w:pPr>
            <w:r w:rsidRPr="00145B0D">
              <w:rPr>
                <w:b/>
                <w:color w:val="31849B" w:themeColor="accent5" w:themeShade="BF"/>
                <w:sz w:val="18"/>
              </w:rPr>
              <w:t>AlphaMissense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F5F3EE9" w14:textId="77777777" w:rsidR="005F4D38" w:rsidRDefault="00000000">
            <w:pPr>
              <w:spacing w:before="40" w:after="40"/>
            </w:pPr>
            <w:r>
              <w:rPr>
                <w:sz w:val="18"/>
              </w:rPr>
              <w:t>0.87 (pathogenic, &gt;0.564 threshold)</w:t>
            </w:r>
          </w:p>
        </w:tc>
      </w:tr>
      <w:tr w:rsidR="005F4D38" w14:paraId="32F8A8C3"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BD3B2AF" w14:textId="77777777" w:rsidR="005F4D38" w:rsidRPr="00145B0D" w:rsidRDefault="00000000">
            <w:pPr>
              <w:spacing w:before="40" w:after="40"/>
              <w:rPr>
                <w:color w:val="31849B" w:themeColor="accent5" w:themeShade="BF"/>
              </w:rPr>
            </w:pPr>
            <w:r w:rsidRPr="00145B0D">
              <w:rPr>
                <w:b/>
                <w:color w:val="31849B" w:themeColor="accent5" w:themeShade="BF"/>
                <w:sz w:val="18"/>
              </w:rPr>
              <w:t>Seed Compound</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37AA42A" w14:textId="77777777" w:rsidR="005F4D38" w:rsidRDefault="00000000">
            <w:pPr>
              <w:spacing w:before="40" w:after="40"/>
            </w:pPr>
            <w:r>
              <w:rPr>
                <w:sz w:val="18"/>
              </w:rPr>
              <w:t>CB-5083 (Phase I clinical VCP inhibitor)</w:t>
            </w:r>
          </w:p>
        </w:tc>
      </w:tr>
      <w:tr w:rsidR="005F4D38" w14:paraId="124314E3"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86F21F3" w14:textId="77777777" w:rsidR="005F4D38" w:rsidRPr="00145B0D" w:rsidRDefault="00000000">
            <w:pPr>
              <w:spacing w:before="40" w:after="40"/>
              <w:rPr>
                <w:color w:val="31849B" w:themeColor="accent5" w:themeShade="BF"/>
              </w:rPr>
            </w:pPr>
            <w:r w:rsidRPr="00145B0D">
              <w:rPr>
                <w:b/>
                <w:color w:val="31849B" w:themeColor="accent5" w:themeShade="BF"/>
                <w:sz w:val="18"/>
              </w:rPr>
              <w:t>PDB Structures</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A762A57" w14:textId="77777777" w:rsidR="005F4D38" w:rsidRDefault="00000000">
            <w:pPr>
              <w:spacing w:before="40" w:after="40"/>
            </w:pPr>
            <w:r>
              <w:rPr>
                <w:sz w:val="18"/>
              </w:rPr>
              <w:t>8OOI, 9DIL, 7K56, 5FTK</w:t>
            </w:r>
          </w:p>
        </w:tc>
      </w:tr>
      <w:tr w:rsidR="005F4D38" w14:paraId="02D2CA05"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28514AB" w14:textId="77777777" w:rsidR="005F4D38" w:rsidRPr="00145B0D" w:rsidRDefault="00000000">
            <w:pPr>
              <w:spacing w:before="40" w:after="40"/>
              <w:rPr>
                <w:color w:val="31849B" w:themeColor="accent5" w:themeShade="BF"/>
              </w:rPr>
            </w:pPr>
            <w:r w:rsidRPr="00145B0D">
              <w:rPr>
                <w:b/>
                <w:color w:val="31849B" w:themeColor="accent5" w:themeShade="BF"/>
                <w:sz w:val="18"/>
              </w:rPr>
              <w:t>Binding Site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676B38C" w14:textId="77777777" w:rsidR="005F4D38" w:rsidRDefault="00000000">
            <w:pPr>
              <w:spacing w:before="40" w:after="40"/>
            </w:pPr>
            <w:r>
              <w:rPr>
                <w:sz w:val="18"/>
              </w:rPr>
              <w:t>D2 ATPase domain (~450 Å³, druggability 0.92)</w:t>
            </w:r>
          </w:p>
        </w:tc>
      </w:tr>
    </w:tbl>
    <w:p w14:paraId="6B9CD238" w14:textId="77777777" w:rsidR="005F4D38" w:rsidRDefault="005F4D38"/>
    <w:p w14:paraId="7A399538" w14:textId="77777777" w:rsidR="005F4D38" w:rsidRDefault="00000000">
      <w:pPr>
        <w:pStyle w:val="Heading2"/>
        <w:spacing w:before="320" w:after="120"/>
      </w:pPr>
      <w:r>
        <w:rPr>
          <w:rFonts w:ascii="Calibri" w:hAnsi="Calibri"/>
          <w:color w:val="1B2333"/>
          <w:sz w:val="32"/>
        </w:rPr>
        <w:t>Demo Results</w:t>
      </w:r>
    </w:p>
    <w:p w14:paraId="0E1E8540" w14:textId="77777777" w:rsidR="005F4D38" w:rsidRDefault="00000000">
      <w:r>
        <w:t>The VCP/FTD demo produces 100 novel VCP inhibitor candidates. Typical results: 87 pass Lipinski’s Rule of Five, 72 have QED &gt;0.67, top 10 show docking scores from -8.2 to -11.4 kcal/mol, with composite scores ranging 0.68-0.89.</w:t>
      </w:r>
    </w:p>
    <w:p w14:paraId="43EA9E20" w14:textId="77777777" w:rsidR="005F4D38" w:rsidRDefault="00000000">
      <w:pPr>
        <w:pStyle w:val="Heading1"/>
        <w:spacing w:after="160"/>
      </w:pPr>
      <w:r>
        <w:rPr>
          <w:rFonts w:ascii="Calibri" w:hAnsi="Calibri"/>
          <w:color w:val="1B2333"/>
          <w:sz w:val="44"/>
        </w:rPr>
        <w:lastRenderedPageBreak/>
        <w:t>8. Cryo-EM Structure Evidence</w:t>
      </w:r>
    </w:p>
    <w:p w14:paraId="1AC0FC1B" w14:textId="77777777" w:rsidR="005F4D38" w:rsidRDefault="00000000">
      <w:pPr>
        <w:pStyle w:val="Heading2"/>
        <w:spacing w:before="320" w:after="120"/>
      </w:pPr>
      <w:r>
        <w:rPr>
          <w:rFonts w:ascii="Calibri" w:hAnsi="Calibri"/>
          <w:color w:val="1B2333"/>
          <w:sz w:val="32"/>
        </w:rPr>
        <w:t>Automated Structure Retrieval and Scoring</w:t>
      </w:r>
    </w:p>
    <w:p w14:paraId="78946069" w14:textId="77777777" w:rsidR="005F4D38" w:rsidRDefault="00000000">
      <w:r>
        <w:t>The drug discovery pipeline automatically queries RCSB PDB for protein structures and scores them by resolution, inhibitor presence (+3 bonus), druggable pocket count (+0.5 each), and experimental method (Cryo-EM +0.5).</w:t>
      </w:r>
    </w:p>
    <w:tbl>
      <w:tblPr>
        <w:tblW w:w="0" w:type="auto"/>
        <w:jc w:val="center"/>
        <w:tblLook w:val="04A0" w:firstRow="1" w:lastRow="0" w:firstColumn="1" w:lastColumn="0" w:noHBand="0" w:noVBand="1"/>
      </w:tblPr>
      <w:tblGrid>
        <w:gridCol w:w="2351"/>
        <w:gridCol w:w="2351"/>
        <w:gridCol w:w="2351"/>
        <w:gridCol w:w="2351"/>
      </w:tblGrid>
      <w:tr w:rsidR="005F4D38" w14:paraId="49796118" w14:textId="77777777">
        <w:trPr>
          <w:jc w:val="center"/>
        </w:trPr>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6F439CB8" w14:textId="77777777" w:rsidR="005F4D38" w:rsidRDefault="00000000">
            <w:pPr>
              <w:jc w:val="center"/>
            </w:pPr>
            <w:r>
              <w:rPr>
                <w:b/>
                <w:color w:val="FFFFFF"/>
                <w:sz w:val="18"/>
              </w:rPr>
              <w:t>PDB</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0FE0335C" w14:textId="77777777" w:rsidR="005F4D38" w:rsidRDefault="00000000">
            <w:pPr>
              <w:jc w:val="center"/>
            </w:pPr>
            <w:r>
              <w:rPr>
                <w:b/>
                <w:color w:val="FFFFFF"/>
                <w:sz w:val="18"/>
              </w:rPr>
              <w:t>Resolution</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271F1548" w14:textId="77777777" w:rsidR="005F4D38" w:rsidRDefault="00000000">
            <w:pPr>
              <w:jc w:val="center"/>
            </w:pPr>
            <w:r>
              <w:rPr>
                <w:b/>
                <w:color w:val="FFFFFF"/>
                <w:sz w:val="18"/>
              </w:rPr>
              <w:t>Method</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6E804238" w14:textId="77777777" w:rsidR="005F4D38" w:rsidRDefault="00000000">
            <w:pPr>
              <w:jc w:val="center"/>
            </w:pPr>
            <w:r>
              <w:rPr>
                <w:b/>
                <w:color w:val="FFFFFF"/>
                <w:sz w:val="18"/>
              </w:rPr>
              <w:t>Key Feature</w:t>
            </w:r>
          </w:p>
        </w:tc>
      </w:tr>
      <w:tr w:rsidR="005F4D38" w14:paraId="778506F3"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508EAE35" w14:textId="77777777" w:rsidR="005F4D38" w:rsidRPr="00145B0D" w:rsidRDefault="00000000">
            <w:pPr>
              <w:spacing w:before="40" w:after="40"/>
              <w:rPr>
                <w:color w:val="31849B" w:themeColor="accent5" w:themeShade="BF"/>
              </w:rPr>
            </w:pPr>
            <w:r w:rsidRPr="00145B0D">
              <w:rPr>
                <w:b/>
                <w:color w:val="31849B" w:themeColor="accent5" w:themeShade="BF"/>
                <w:sz w:val="18"/>
              </w:rPr>
              <w:t>5FTK</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0CBE14F4" w14:textId="77777777" w:rsidR="005F4D38" w:rsidRDefault="00000000">
            <w:pPr>
              <w:spacing w:before="40" w:after="40"/>
            </w:pPr>
            <w:r>
              <w:rPr>
                <w:sz w:val="18"/>
              </w:rPr>
              <w:t>2.3 Å</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7336851E" w14:textId="77777777" w:rsidR="005F4D38" w:rsidRDefault="00000000">
            <w:pPr>
              <w:spacing w:before="40" w:after="40"/>
            </w:pPr>
            <w:r>
              <w:rPr>
                <w:sz w:val="18"/>
              </w:rPr>
              <w:t>X-ray</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0D9DBDBF" w14:textId="77777777" w:rsidR="005F4D38" w:rsidRDefault="00000000">
            <w:pPr>
              <w:spacing w:before="40" w:after="40"/>
            </w:pPr>
            <w:r>
              <w:rPr>
                <w:sz w:val="18"/>
              </w:rPr>
              <w:t>CB-5083 inhibitor-bound (highest score)</w:t>
            </w:r>
          </w:p>
        </w:tc>
      </w:tr>
      <w:tr w:rsidR="005F4D38" w14:paraId="5B5CBB3C"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45688BD1" w14:textId="77777777" w:rsidR="005F4D38" w:rsidRPr="00145B0D" w:rsidRDefault="00000000">
            <w:pPr>
              <w:spacing w:before="40" w:after="40"/>
              <w:rPr>
                <w:color w:val="31849B" w:themeColor="accent5" w:themeShade="BF"/>
              </w:rPr>
            </w:pPr>
            <w:r w:rsidRPr="00145B0D">
              <w:rPr>
                <w:b/>
                <w:color w:val="31849B" w:themeColor="accent5" w:themeShade="BF"/>
                <w:sz w:val="18"/>
              </w:rPr>
              <w:t>7K56</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56C8AE5C" w14:textId="77777777" w:rsidR="005F4D38" w:rsidRDefault="00000000">
            <w:pPr>
              <w:spacing w:before="40" w:after="40"/>
            </w:pPr>
            <w:r>
              <w:rPr>
                <w:sz w:val="18"/>
              </w:rPr>
              <w:t>2.5 Å</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6BD5ECAA" w14:textId="77777777" w:rsidR="005F4D38" w:rsidRDefault="00000000">
            <w:pPr>
              <w:spacing w:before="40" w:after="40"/>
            </w:pPr>
            <w:r>
              <w:rPr>
                <w:sz w:val="18"/>
              </w:rPr>
              <w:t>Cryo-EM</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08E52F85" w14:textId="77777777" w:rsidR="005F4D38" w:rsidRDefault="00000000">
            <w:pPr>
              <w:spacing w:before="40" w:after="40"/>
            </w:pPr>
            <w:r>
              <w:rPr>
                <w:sz w:val="18"/>
              </w:rPr>
              <w:t>VCP complex</w:t>
            </w:r>
          </w:p>
        </w:tc>
      </w:tr>
      <w:tr w:rsidR="005F4D38" w14:paraId="4648E2E4"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0F87D64D" w14:textId="77777777" w:rsidR="005F4D38" w:rsidRPr="00145B0D" w:rsidRDefault="00000000">
            <w:pPr>
              <w:spacing w:before="40" w:after="40"/>
              <w:rPr>
                <w:color w:val="31849B" w:themeColor="accent5" w:themeShade="BF"/>
              </w:rPr>
            </w:pPr>
            <w:r w:rsidRPr="00145B0D">
              <w:rPr>
                <w:b/>
                <w:color w:val="31849B" w:themeColor="accent5" w:themeShade="BF"/>
                <w:sz w:val="18"/>
              </w:rPr>
              <w:t>8OOI</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6934F1DB" w14:textId="77777777" w:rsidR="005F4D38" w:rsidRDefault="00000000">
            <w:pPr>
              <w:spacing w:before="40" w:after="40"/>
            </w:pPr>
            <w:r>
              <w:rPr>
                <w:sz w:val="18"/>
              </w:rPr>
              <w:t>2.9 Å</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2F2F4D01" w14:textId="77777777" w:rsidR="005F4D38" w:rsidRDefault="00000000">
            <w:pPr>
              <w:spacing w:before="40" w:after="40"/>
            </w:pPr>
            <w:r>
              <w:rPr>
                <w:sz w:val="18"/>
              </w:rPr>
              <w:t>Cryo-EM</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44A9EF29" w14:textId="77777777" w:rsidR="005F4D38" w:rsidRDefault="00000000">
            <w:pPr>
              <w:spacing w:before="40" w:after="40"/>
            </w:pPr>
            <w:r>
              <w:rPr>
                <w:sz w:val="18"/>
              </w:rPr>
              <w:t>WT VCP hexamer</w:t>
            </w:r>
          </w:p>
        </w:tc>
      </w:tr>
      <w:tr w:rsidR="005F4D38" w14:paraId="529ADD68"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75352D5A" w14:textId="77777777" w:rsidR="005F4D38" w:rsidRPr="00145B0D" w:rsidRDefault="00000000">
            <w:pPr>
              <w:spacing w:before="40" w:after="40"/>
              <w:rPr>
                <w:color w:val="31849B" w:themeColor="accent5" w:themeShade="BF"/>
              </w:rPr>
            </w:pPr>
            <w:r w:rsidRPr="00145B0D">
              <w:rPr>
                <w:b/>
                <w:color w:val="31849B" w:themeColor="accent5" w:themeShade="BF"/>
                <w:sz w:val="18"/>
              </w:rPr>
              <w:t>9DIL</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1419BE73" w14:textId="77777777" w:rsidR="005F4D38" w:rsidRDefault="00000000">
            <w:pPr>
              <w:spacing w:before="40" w:after="40"/>
            </w:pPr>
            <w:r>
              <w:rPr>
                <w:sz w:val="18"/>
              </w:rPr>
              <w:t>3.2 Å</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3AABF2DB" w14:textId="77777777" w:rsidR="005F4D38" w:rsidRDefault="00000000">
            <w:pPr>
              <w:spacing w:before="40" w:after="40"/>
            </w:pPr>
            <w:r>
              <w:rPr>
                <w:sz w:val="18"/>
              </w:rPr>
              <w:t>Cryo-EM</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7190946C" w14:textId="77777777" w:rsidR="005F4D38" w:rsidRDefault="00000000">
            <w:pPr>
              <w:spacing w:before="40" w:after="40"/>
            </w:pPr>
            <w:r>
              <w:rPr>
                <w:sz w:val="18"/>
              </w:rPr>
              <w:t>Mutant VCP</w:t>
            </w:r>
          </w:p>
        </w:tc>
      </w:tr>
    </w:tbl>
    <w:p w14:paraId="1A2CC775" w14:textId="77777777" w:rsidR="005F4D38" w:rsidRDefault="005F4D38"/>
    <w:p w14:paraId="42ECA3D4" w14:textId="77777777" w:rsidR="005F4D38" w:rsidRDefault="00000000">
      <w:r>
        <w:t>The inhibitor-bound structure (5FTK) is preferred because it provides a pre-defined binding site and a reference ligand for molecular generation.</w:t>
      </w:r>
    </w:p>
    <w:p w14:paraId="182DFD58" w14:textId="77777777" w:rsidR="005F00F7" w:rsidRDefault="005F00F7" w:rsidP="005F00F7"/>
    <w:p w14:paraId="755C16DA" w14:textId="6DB01BF8" w:rsidR="005F4D38" w:rsidRPr="005F00F7" w:rsidRDefault="00000000" w:rsidP="005F00F7">
      <w:pPr>
        <w:rPr>
          <w:b/>
          <w:bCs/>
        </w:rPr>
      </w:pPr>
      <w:r w:rsidRPr="005F00F7">
        <w:rPr>
          <w:b/>
          <w:bCs/>
          <w:color w:val="1B2333"/>
          <w:sz w:val="44"/>
        </w:rPr>
        <w:t>9. Orchestration and Monitoring</w:t>
      </w:r>
    </w:p>
    <w:p w14:paraId="68E59491" w14:textId="77777777" w:rsidR="005F4D38" w:rsidRDefault="00000000">
      <w:pPr>
        <w:pStyle w:val="Heading2"/>
        <w:spacing w:before="320" w:after="120"/>
      </w:pPr>
      <w:r>
        <w:rPr>
          <w:rFonts w:ascii="Calibri" w:hAnsi="Calibri"/>
          <w:color w:val="1B2333"/>
          <w:sz w:val="32"/>
        </w:rPr>
        <w:t>Nextflow DSL2 Orchestration</w:t>
      </w:r>
    </w:p>
    <w:p w14:paraId="4A8163C1" w14:textId="77777777" w:rsidR="005F4D38" w:rsidRDefault="00000000">
      <w:r>
        <w:t>The pipeline is orchestrated by Nextflow DSL2, supporting five modes:</w:t>
      </w:r>
    </w:p>
    <w:p w14:paraId="60DCBE39" w14:textId="77777777" w:rsidR="005F4D38" w:rsidRDefault="00000000">
      <w:pPr>
        <w:spacing w:before="40" w:after="40"/>
        <w:ind w:left="360"/>
      </w:pPr>
      <w:r>
        <w:rPr>
          <w:b/>
        </w:rPr>
        <w:t>full:</w:t>
      </w:r>
      <w:r>
        <w:t xml:space="preserve">  End-to-end (Stages 1→2→3)</w:t>
      </w:r>
    </w:p>
    <w:p w14:paraId="0F7A8C1E" w14:textId="77777777" w:rsidR="005F4D38" w:rsidRDefault="00000000">
      <w:pPr>
        <w:spacing w:before="40" w:after="40"/>
        <w:ind w:left="360"/>
      </w:pPr>
      <w:r>
        <w:rPr>
          <w:b/>
        </w:rPr>
        <w:t>target:</w:t>
      </w:r>
      <w:r>
        <w:t xml:space="preserve">  From existing VCF (Stages 2→3)</w:t>
      </w:r>
    </w:p>
    <w:p w14:paraId="6B5E1497" w14:textId="77777777" w:rsidR="005F4D38" w:rsidRDefault="00000000">
      <w:pPr>
        <w:spacing w:before="40" w:after="40"/>
        <w:ind w:left="360"/>
      </w:pPr>
      <w:r>
        <w:rPr>
          <w:b/>
        </w:rPr>
        <w:t>drug:</w:t>
      </w:r>
      <w:r>
        <w:t xml:space="preserve">  Known target to drug candidates (Stage 3 only)</w:t>
      </w:r>
    </w:p>
    <w:p w14:paraId="1348DFD1" w14:textId="77777777" w:rsidR="005F4D38" w:rsidRDefault="00000000">
      <w:pPr>
        <w:spacing w:before="40" w:after="40"/>
        <w:ind w:left="360"/>
      </w:pPr>
      <w:r>
        <w:rPr>
          <w:b/>
        </w:rPr>
        <w:t>demo:</w:t>
      </w:r>
      <w:r>
        <w:t xml:space="preserve">  Pre-configured VCP/FTD demonstration</w:t>
      </w:r>
    </w:p>
    <w:p w14:paraId="6DBF0B3F" w14:textId="77777777" w:rsidR="005F4D38" w:rsidRDefault="00000000">
      <w:pPr>
        <w:spacing w:before="40" w:after="40"/>
        <w:ind w:left="360"/>
      </w:pPr>
      <w:r>
        <w:rPr>
          <w:b/>
        </w:rPr>
        <w:t>genomics_only:</w:t>
      </w:r>
      <w:r>
        <w:t xml:space="preserve">  Variant calling only (Stage 1)</w:t>
      </w:r>
    </w:p>
    <w:p w14:paraId="551F642D" w14:textId="77777777" w:rsidR="005F4D38" w:rsidRDefault="00000000">
      <w:r>
        <w:t>Six execution profiles (standard, docker, singularity, dgx_spark, slurm, test) adapt the pipeline to different infrastructure.</w:t>
      </w:r>
    </w:p>
    <w:p w14:paraId="3052E897" w14:textId="77777777" w:rsidR="005F4D38" w:rsidRDefault="00000000">
      <w:pPr>
        <w:pStyle w:val="Heading2"/>
        <w:spacing w:before="320" w:after="120"/>
      </w:pPr>
      <w:r>
        <w:rPr>
          <w:rFonts w:ascii="Calibri" w:hAnsi="Calibri"/>
          <w:color w:val="1B2333"/>
          <w:sz w:val="32"/>
        </w:rPr>
        <w:t>Monitoring Stack</w:t>
      </w:r>
    </w:p>
    <w:p w14:paraId="77B1C550" w14:textId="77777777" w:rsidR="005F4D38" w:rsidRDefault="00000000">
      <w:r>
        <w:t>Grafana dashboards (port 3000) visualize GPU utilization, memory pressure, pipeline progress, and service health. Prometheus (port 9099) collects metrics from DCGM Exporter (port 9400) for GPU telemetry and Node Exporter (port 9100) for system resources. The landing page (port 8080) provides a 10-service health grid with real-time status indicators.</w:t>
      </w:r>
    </w:p>
    <w:p w14:paraId="79EB93CE" w14:textId="77777777" w:rsidR="005F4D38" w:rsidRDefault="00000000">
      <w:pPr>
        <w:pStyle w:val="Heading1"/>
        <w:spacing w:after="160"/>
      </w:pPr>
      <w:r>
        <w:rPr>
          <w:rFonts w:ascii="Calibri" w:hAnsi="Calibri"/>
          <w:color w:val="1B2333"/>
          <w:sz w:val="44"/>
        </w:rPr>
        <w:lastRenderedPageBreak/>
        <w:t>10. Cross-Modal Integration</w:t>
      </w:r>
    </w:p>
    <w:p w14:paraId="5D924EE1" w14:textId="77777777" w:rsidR="005F4D38" w:rsidRDefault="00000000">
      <w:pPr>
        <w:pStyle w:val="Heading2"/>
        <w:spacing w:before="320" w:after="120"/>
      </w:pPr>
      <w:r>
        <w:rPr>
          <w:rFonts w:ascii="Calibri" w:hAnsi="Calibri"/>
          <w:color w:val="1B2333"/>
          <w:sz w:val="32"/>
        </w:rPr>
        <w:t>Imaging Intelligence Agent Integration</w:t>
      </w:r>
    </w:p>
    <w:p w14:paraId="50E8F01E" w14:textId="77777777" w:rsidR="005F4D38" w:rsidRDefault="00000000">
      <w:r>
        <w:t>The HCLS AI Factory ecosystem includes an Imaging Intelligence Agent for CT, MRI, and X-ray analysis. Cross-modal triggers connect imaging findings to genomic analysis:</w:t>
      </w:r>
    </w:p>
    <w:p w14:paraId="13509BB3" w14:textId="77777777" w:rsidR="005F4D38" w:rsidRDefault="00000000">
      <w:pPr>
        <w:spacing w:before="40" w:after="40"/>
        <w:ind w:left="360"/>
      </w:pPr>
      <w:r>
        <w:rPr>
          <w:b/>
        </w:rPr>
        <w:t>Imaging → Genomics:</w:t>
      </w:r>
      <w:r>
        <w:t xml:space="preserve">  Lung-RADS 4B+ triggers FHIR ServiceRequest for tumor profiling</w:t>
      </w:r>
    </w:p>
    <w:p w14:paraId="1671CB9E" w14:textId="77777777" w:rsidR="005F4D38" w:rsidRDefault="00000000">
      <w:pPr>
        <w:spacing w:before="40" w:after="40"/>
        <w:ind w:left="360"/>
      </w:pPr>
      <w:r>
        <w:rPr>
          <w:b/>
        </w:rPr>
        <w:t>Genomics → Drug Discovery:</w:t>
      </w:r>
      <w:r>
        <w:t xml:space="preserve">  Pathogenic variants trigger targeted molecule generation</w:t>
      </w:r>
    </w:p>
    <w:p w14:paraId="269D189C" w14:textId="77777777" w:rsidR="005F4D38" w:rsidRDefault="00000000">
      <w:pPr>
        <w:spacing w:before="40" w:after="40"/>
        <w:ind w:left="360"/>
      </w:pPr>
      <w:r>
        <w:rPr>
          <w:b/>
        </w:rPr>
        <w:t>Drug Discovery → Imaging:</w:t>
      </w:r>
      <w:r>
        <w:t xml:space="preserve">  Candidates combined with imaging in clinical reports</w:t>
      </w:r>
    </w:p>
    <w:p w14:paraId="73C5D297" w14:textId="77777777" w:rsidR="005F4D38" w:rsidRDefault="00000000">
      <w:pPr>
        <w:pStyle w:val="Heading2"/>
        <w:spacing w:before="320" w:after="120"/>
      </w:pPr>
      <w:r>
        <w:rPr>
          <w:rFonts w:ascii="Calibri" w:hAnsi="Calibri"/>
          <w:color w:val="1B2333"/>
          <w:sz w:val="32"/>
        </w:rPr>
        <w:t>NVIDIA FLARE for Federated Learning</w:t>
      </w:r>
    </w:p>
    <w:p w14:paraId="072CD45C" w14:textId="77777777" w:rsidR="005F4D38" w:rsidRDefault="00000000">
      <w:r>
        <w:t>Phase 3 deployments use NVIDIA FLARE for federated learning across institutions. Models train locally; only gradient updates are shared. Patient genomic data never leaves the originating institution.</w:t>
      </w:r>
    </w:p>
    <w:p w14:paraId="1348DD93" w14:textId="77777777" w:rsidR="005F00F7" w:rsidRDefault="005F00F7" w:rsidP="005F00F7"/>
    <w:p w14:paraId="477CD9C8" w14:textId="76075B5C" w:rsidR="005F4D38" w:rsidRPr="005F00F7" w:rsidRDefault="00000000" w:rsidP="005F00F7">
      <w:pPr>
        <w:rPr>
          <w:b/>
          <w:bCs/>
        </w:rPr>
      </w:pPr>
      <w:r w:rsidRPr="005F00F7">
        <w:rPr>
          <w:b/>
          <w:bCs/>
          <w:color w:val="1B2333"/>
          <w:sz w:val="44"/>
        </w:rPr>
        <w:t>11. Deployment Roadmap</w:t>
      </w:r>
    </w:p>
    <w:p w14:paraId="1BBB9D75" w14:textId="77777777" w:rsidR="005F4D38" w:rsidRDefault="00000000">
      <w:pPr>
        <w:pStyle w:val="Heading2"/>
        <w:spacing w:before="320" w:after="120"/>
      </w:pPr>
      <w:r>
        <w:rPr>
          <w:rFonts w:ascii="Calibri" w:hAnsi="Calibri"/>
          <w:color w:val="1B2333"/>
          <w:sz w:val="32"/>
        </w:rPr>
        <w:t>Three-Phase Scaling</w:t>
      </w:r>
    </w:p>
    <w:tbl>
      <w:tblPr>
        <w:tblW w:w="0" w:type="auto"/>
        <w:jc w:val="center"/>
        <w:tblLook w:val="04A0" w:firstRow="1" w:lastRow="0" w:firstColumn="1" w:lastColumn="0" w:noHBand="0" w:noVBand="1"/>
      </w:tblPr>
      <w:tblGrid>
        <w:gridCol w:w="2351"/>
        <w:gridCol w:w="2351"/>
        <w:gridCol w:w="2351"/>
        <w:gridCol w:w="2351"/>
      </w:tblGrid>
      <w:tr w:rsidR="005F4D38" w14:paraId="0AE2441F" w14:textId="77777777">
        <w:trPr>
          <w:jc w:val="center"/>
        </w:trPr>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07945624" w14:textId="77777777" w:rsidR="005F4D38" w:rsidRDefault="00000000">
            <w:pPr>
              <w:jc w:val="center"/>
            </w:pPr>
            <w:r>
              <w:rPr>
                <w:b/>
                <w:color w:val="FFFFFF"/>
                <w:sz w:val="18"/>
              </w:rPr>
              <w:t>Phase</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60B9653D" w14:textId="77777777" w:rsidR="005F4D38" w:rsidRDefault="00000000">
            <w:pPr>
              <w:jc w:val="center"/>
            </w:pPr>
            <w:r>
              <w:rPr>
                <w:b/>
                <w:color w:val="FFFFFF"/>
                <w:sz w:val="18"/>
              </w:rPr>
              <w:t>Hardware</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436DBDE9" w14:textId="77777777" w:rsidR="005F4D38" w:rsidRDefault="00000000">
            <w:pPr>
              <w:jc w:val="center"/>
            </w:pPr>
            <w:r>
              <w:rPr>
                <w:b/>
                <w:color w:val="FFFFFF"/>
                <w:sz w:val="18"/>
              </w:rPr>
              <w:t>Orchestration</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641B6AEF" w14:textId="77777777" w:rsidR="005F4D38" w:rsidRDefault="00000000">
            <w:pPr>
              <w:jc w:val="center"/>
            </w:pPr>
            <w:r>
              <w:rPr>
                <w:b/>
                <w:color w:val="FFFFFF"/>
                <w:sz w:val="18"/>
              </w:rPr>
              <w:t>Scale</w:t>
            </w:r>
          </w:p>
        </w:tc>
      </w:tr>
      <w:tr w:rsidR="005F4D38" w14:paraId="141FF41B"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255BFEF4" w14:textId="77777777" w:rsidR="005F4D38" w:rsidRPr="00145B0D" w:rsidRDefault="00000000">
            <w:pPr>
              <w:spacing w:before="40" w:after="40"/>
              <w:rPr>
                <w:color w:val="31849B" w:themeColor="accent5" w:themeShade="BF"/>
              </w:rPr>
            </w:pPr>
            <w:r w:rsidRPr="00145B0D">
              <w:rPr>
                <w:b/>
                <w:color w:val="31849B" w:themeColor="accent5" w:themeShade="BF"/>
                <w:sz w:val="18"/>
              </w:rPr>
              <w:t>1 — Proof Build</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55509821" w14:textId="77777777" w:rsidR="005F4D38" w:rsidRDefault="00000000">
            <w:pPr>
              <w:spacing w:before="40" w:after="40"/>
            </w:pPr>
            <w:r>
              <w:rPr>
                <w:sz w:val="18"/>
              </w:rPr>
              <w:t>DGX Spark ($3,999)</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0FE8FA64" w14:textId="77777777" w:rsidR="005F4D38" w:rsidRDefault="00000000">
            <w:pPr>
              <w:spacing w:before="40" w:after="40"/>
            </w:pPr>
            <w:r>
              <w:rPr>
                <w:sz w:val="18"/>
              </w:rPr>
              <w:t>Docker Compose</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77DA7DFB" w14:textId="77777777" w:rsidR="005F4D38" w:rsidRDefault="00000000">
            <w:pPr>
              <w:spacing w:before="40" w:after="40"/>
            </w:pPr>
            <w:r>
              <w:rPr>
                <w:sz w:val="18"/>
              </w:rPr>
              <w:t>Single patient, sequential</w:t>
            </w:r>
          </w:p>
        </w:tc>
      </w:tr>
      <w:tr w:rsidR="005F4D38" w14:paraId="0325A4DC"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28E47545" w14:textId="77777777" w:rsidR="005F4D38" w:rsidRPr="00145B0D" w:rsidRDefault="00000000">
            <w:pPr>
              <w:spacing w:before="40" w:after="40"/>
              <w:rPr>
                <w:color w:val="31849B" w:themeColor="accent5" w:themeShade="BF"/>
              </w:rPr>
            </w:pPr>
            <w:r w:rsidRPr="00145B0D">
              <w:rPr>
                <w:b/>
                <w:color w:val="31849B" w:themeColor="accent5" w:themeShade="BF"/>
                <w:sz w:val="18"/>
              </w:rPr>
              <w:t>2 — Departmental</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5F739A27" w14:textId="77777777" w:rsidR="005F4D38" w:rsidRDefault="00000000">
            <w:pPr>
              <w:spacing w:before="40" w:after="40"/>
            </w:pPr>
            <w:r>
              <w:rPr>
                <w:sz w:val="18"/>
              </w:rPr>
              <w:t>1-2× DGX B200</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70EDABF2" w14:textId="77777777" w:rsidR="005F4D38" w:rsidRDefault="00000000">
            <w:pPr>
              <w:spacing w:before="40" w:after="40"/>
            </w:pPr>
            <w:r>
              <w:rPr>
                <w:sz w:val="18"/>
              </w:rPr>
              <w:t>Kubernetes</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68EA64B0" w14:textId="77777777" w:rsidR="005F4D38" w:rsidRDefault="00000000">
            <w:pPr>
              <w:spacing w:before="40" w:after="40"/>
            </w:pPr>
            <w:r>
              <w:rPr>
                <w:sz w:val="18"/>
              </w:rPr>
              <w:t>Multiple concurrent patients</w:t>
            </w:r>
          </w:p>
        </w:tc>
      </w:tr>
      <w:tr w:rsidR="005F4D38" w14:paraId="18F9D5DB"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56323522" w14:textId="77777777" w:rsidR="005F4D38" w:rsidRPr="00145B0D" w:rsidRDefault="00000000">
            <w:pPr>
              <w:spacing w:before="40" w:after="40"/>
              <w:rPr>
                <w:color w:val="31849B" w:themeColor="accent5" w:themeShade="BF"/>
              </w:rPr>
            </w:pPr>
            <w:r w:rsidRPr="00145B0D">
              <w:rPr>
                <w:b/>
                <w:color w:val="31849B" w:themeColor="accent5" w:themeShade="BF"/>
                <w:sz w:val="18"/>
              </w:rPr>
              <w:t>3 — Enterprise</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5F2D2F72" w14:textId="77777777" w:rsidR="005F4D38" w:rsidRDefault="00000000">
            <w:pPr>
              <w:spacing w:before="40" w:after="40"/>
            </w:pPr>
            <w:r>
              <w:rPr>
                <w:sz w:val="18"/>
              </w:rPr>
              <w:t>DGX SuperPOD</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63820DF1" w14:textId="77777777" w:rsidR="005F4D38" w:rsidRDefault="00000000">
            <w:pPr>
              <w:spacing w:before="40" w:after="40"/>
            </w:pPr>
            <w:r>
              <w:rPr>
                <w:sz w:val="18"/>
              </w:rPr>
              <w:t>K8s + FLARE</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0F5DB51D" w14:textId="77777777" w:rsidR="005F4D38" w:rsidRDefault="00000000">
            <w:pPr>
              <w:spacing w:before="40" w:after="40"/>
            </w:pPr>
            <w:r>
              <w:rPr>
                <w:sz w:val="18"/>
              </w:rPr>
              <w:t>Thousands concurrent, federated</w:t>
            </w:r>
          </w:p>
        </w:tc>
      </w:tr>
    </w:tbl>
    <w:p w14:paraId="438DEE80" w14:textId="77777777" w:rsidR="005F4D38" w:rsidRDefault="005F4D38"/>
    <w:p w14:paraId="37038A54" w14:textId="77777777" w:rsidR="005F4D38" w:rsidRPr="00145B0D" w:rsidRDefault="00000000">
      <w:pPr>
        <w:spacing w:before="200" w:after="80"/>
        <w:rPr>
          <w:color w:val="31849B" w:themeColor="accent5" w:themeShade="BF"/>
        </w:rPr>
      </w:pPr>
      <w:r w:rsidRPr="00145B0D">
        <w:rPr>
          <w:b/>
          <w:color w:val="31849B" w:themeColor="accent5" w:themeShade="BF"/>
          <w:sz w:val="26"/>
        </w:rPr>
        <w:t>Phase 1: DGX Spark Proof Build</w:t>
      </w:r>
    </w:p>
    <w:p w14:paraId="1DDE8C96" w14:textId="77777777" w:rsidR="005F4D38" w:rsidRDefault="00000000">
      <w:r>
        <w:t>A single DGX Spark runs the complete pipeline: GB10 GPU handles Parabricks, Milvus, MolMIM, and DiffDock sequentially. Docker Compose manages all 14 services. The 128 GB unified memory accommodates all stages. Total cost: $3,999 hardware + API keys (Anthropic, NGC).</w:t>
      </w:r>
    </w:p>
    <w:p w14:paraId="7DC428AF" w14:textId="77777777" w:rsidR="005F4D38" w:rsidRPr="00145B0D" w:rsidRDefault="00000000">
      <w:pPr>
        <w:spacing w:before="200" w:after="80"/>
        <w:rPr>
          <w:color w:val="31849B" w:themeColor="accent5" w:themeShade="BF"/>
        </w:rPr>
      </w:pPr>
      <w:r w:rsidRPr="00145B0D">
        <w:rPr>
          <w:b/>
          <w:color w:val="31849B" w:themeColor="accent5" w:themeShade="BF"/>
          <w:sz w:val="26"/>
        </w:rPr>
        <w:t>Phase 2: Departmental Scale</w:t>
      </w:r>
    </w:p>
    <w:p w14:paraId="6959CBBD" w14:textId="77777777" w:rsidR="005F4D38" w:rsidRDefault="00000000">
      <w:r>
        <w:t>DGX B200 systems (8× B200 GPUs, 1-2 TB HBM3e) enable parallel processing of multiple patients, GPU-dedicated Milvus instances, and multiple BioNeMo NIM replicas. Kubernetes replaces Docker Compose.</w:t>
      </w:r>
    </w:p>
    <w:p w14:paraId="34EA0FC4" w14:textId="77777777" w:rsidR="005F4D38" w:rsidRPr="00145B0D" w:rsidRDefault="00000000">
      <w:pPr>
        <w:spacing w:before="200" w:after="80"/>
        <w:rPr>
          <w:color w:val="31849B" w:themeColor="accent5" w:themeShade="BF"/>
        </w:rPr>
      </w:pPr>
      <w:r w:rsidRPr="00145B0D">
        <w:rPr>
          <w:b/>
          <w:color w:val="31849B" w:themeColor="accent5" w:themeShade="BF"/>
          <w:sz w:val="26"/>
        </w:rPr>
        <w:t>Phase 3: Enterprise / Multi-Site</w:t>
      </w:r>
    </w:p>
    <w:p w14:paraId="126BA095" w14:textId="77777777" w:rsidR="005F4D38" w:rsidRDefault="00000000">
      <w:r>
        <w:t>DGX SuperPOD with InfiniBand fabric, NVIDIA FLARE for federated learning, and institutional-scale variant databases. Thousands of patients processed concurrently with cross-institutional collaboration while maintaining data sovereignty.</w:t>
      </w:r>
    </w:p>
    <w:p w14:paraId="45FC2774" w14:textId="77777777" w:rsidR="005F4D38" w:rsidRDefault="00000000">
      <w:pPr>
        <w:pStyle w:val="Heading1"/>
        <w:spacing w:after="160"/>
      </w:pPr>
      <w:r>
        <w:rPr>
          <w:rFonts w:ascii="Calibri" w:hAnsi="Calibri"/>
          <w:color w:val="1B2333"/>
          <w:sz w:val="44"/>
        </w:rPr>
        <w:lastRenderedPageBreak/>
        <w:t>12. Conclusion</w:t>
      </w:r>
    </w:p>
    <w:p w14:paraId="7582773C" w14:textId="77777777" w:rsidR="005F4D38" w:rsidRDefault="00000000">
      <w:r>
        <w:t>The HCLS AI Factory demonstrates that the full precision medicine pipeline — from raw DNA to novel drug candidates — can run on a single desktop workstation. GPU acceleration collapses genomics from days to hours. Vector databases and LLM reasoning transform annotation from manual curation to interactive exploration. Generative chemistry and molecular docking automate the target-to-lead transition that traditionally takes months.</w:t>
      </w:r>
    </w:p>
    <w:p w14:paraId="292540CB" w14:textId="77777777" w:rsidR="005F4D38" w:rsidRDefault="00000000">
      <w:r>
        <w:t>The three-stage architecture (Genomics → RAG/Chat → Drug Discovery) provides a reproducible, auditable, and scalable framework. The same Nextflow pipelines that run on a $3,999 DGX Spark scale to DGX SuperPOD for enterprise deployments. All components are open-source or NVIDIA-licensed under Apache 2.0.</w:t>
      </w:r>
    </w:p>
    <w:p w14:paraId="1533794D" w14:textId="77777777" w:rsidR="005F4D38" w:rsidRDefault="00000000">
      <w:r>
        <w:t>This is precision medicine as a continuous, computable workflow — not a disconnected collection of tools, but an integrated factory that transforms patient data into therapeutic hypotheses in a single session.</w:t>
      </w:r>
    </w:p>
    <w:p w14:paraId="72C1325F" w14:textId="77777777" w:rsidR="005F4D38" w:rsidRDefault="005F4D38">
      <w:pPr>
        <w:spacing w:after="240"/>
      </w:pPr>
    </w:p>
    <w:p w14:paraId="78B65793" w14:textId="77777777" w:rsidR="005F4D38" w:rsidRDefault="00000000">
      <w:pPr>
        <w:jc w:val="center"/>
      </w:pPr>
      <w:r>
        <w:rPr>
          <w:i/>
          <w:color w:val="666666"/>
          <w:sz w:val="20"/>
        </w:rPr>
        <w:t>HCLS AI Factory — Apache 2.0  |  Author: Adam Jones  |  February 2026</w:t>
      </w:r>
    </w:p>
    <w:sectPr w:rsidR="005F4D38"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7849877">
    <w:abstractNumId w:val="8"/>
  </w:num>
  <w:num w:numId="2" w16cid:durableId="1676571509">
    <w:abstractNumId w:val="6"/>
  </w:num>
  <w:num w:numId="3" w16cid:durableId="1305820268">
    <w:abstractNumId w:val="5"/>
  </w:num>
  <w:num w:numId="4" w16cid:durableId="772019659">
    <w:abstractNumId w:val="4"/>
  </w:num>
  <w:num w:numId="5" w16cid:durableId="1743023305">
    <w:abstractNumId w:val="7"/>
  </w:num>
  <w:num w:numId="6" w16cid:durableId="1030885314">
    <w:abstractNumId w:val="3"/>
  </w:num>
  <w:num w:numId="7" w16cid:durableId="1867407997">
    <w:abstractNumId w:val="2"/>
  </w:num>
  <w:num w:numId="8" w16cid:durableId="1769502574">
    <w:abstractNumId w:val="1"/>
  </w:num>
  <w:num w:numId="9" w16cid:durableId="71343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5B0D"/>
    <w:rsid w:val="0015074B"/>
    <w:rsid w:val="00166AAA"/>
    <w:rsid w:val="002765BC"/>
    <w:rsid w:val="0029639D"/>
    <w:rsid w:val="002E5F89"/>
    <w:rsid w:val="00326F90"/>
    <w:rsid w:val="0036452A"/>
    <w:rsid w:val="00374451"/>
    <w:rsid w:val="004170C0"/>
    <w:rsid w:val="005F00F7"/>
    <w:rsid w:val="005F4D38"/>
    <w:rsid w:val="00AA1D8D"/>
    <w:rsid w:val="00AB4802"/>
    <w:rsid w:val="00B11BCF"/>
    <w:rsid w:val="00B47730"/>
    <w:rsid w:val="00CB0664"/>
    <w:rsid w:val="00CC4D91"/>
    <w:rsid w:val="00CF46EF"/>
    <w:rsid w:val="00D24CA2"/>
    <w:rsid w:val="00E33B33"/>
    <w:rsid w:val="00F62D57"/>
    <w:rsid w:val="00FB57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A94A9"/>
  <w14:defaultImageDpi w14:val="300"/>
  <w15:docId w15:val="{0B9CCDC0-B1DA-994C-9665-C5C27537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2080</Words>
  <Characters>13126</Characters>
  <Application>Microsoft Office Word</Application>
  <DocSecurity>0</DocSecurity>
  <Lines>410</Lines>
  <Paragraphs>345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Jones</cp:lastModifiedBy>
  <cp:revision>3</cp:revision>
  <cp:lastPrinted>2026-02-04T00:45:00Z</cp:lastPrinted>
  <dcterms:created xsi:type="dcterms:W3CDTF">2026-02-04T00:45:00Z</dcterms:created>
  <dcterms:modified xsi:type="dcterms:W3CDTF">2026-02-04T00:46:00Z</dcterms:modified>
  <cp:category/>
</cp:coreProperties>
</file>